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D773F" w14:textId="3D60A933" w:rsidR="00B83F46" w:rsidRPr="00582BDF" w:rsidRDefault="003174D2" w:rsidP="009662DA">
      <w:pPr>
        <w:rPr>
          <w:b/>
          <w:sz w:val="28"/>
          <w:szCs w:val="28"/>
        </w:rPr>
      </w:pPr>
      <w:bookmarkStart w:id="0" w:name="_Hlk156380974"/>
      <w:bookmarkEnd w:id="0"/>
      <w:r>
        <w:rPr>
          <w:noProof/>
        </w:rPr>
        <w:drawing>
          <wp:anchor distT="0" distB="0" distL="114300" distR="114300" simplePos="0" relativeHeight="251674624" behindDoc="0" locked="0" layoutInCell="1" allowOverlap="1" wp14:anchorId="3985B7B2" wp14:editId="7D1EB656">
            <wp:simplePos x="0" y="0"/>
            <wp:positionH relativeFrom="margin">
              <wp:align>right</wp:align>
            </wp:positionH>
            <wp:positionV relativeFrom="paragraph">
              <wp:posOffset>-417195</wp:posOffset>
            </wp:positionV>
            <wp:extent cx="1066429" cy="997367"/>
            <wp:effectExtent l="0" t="0" r="635" b="0"/>
            <wp:wrapNone/>
            <wp:docPr id="12821902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8453" name="Picture 13933384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429" cy="997367"/>
                    </a:xfrm>
                    <a:prstGeom prst="rect">
                      <a:avLst/>
                    </a:prstGeom>
                  </pic:spPr>
                </pic:pic>
              </a:graphicData>
            </a:graphic>
            <wp14:sizeRelH relativeFrom="margin">
              <wp14:pctWidth>0</wp14:pctWidth>
            </wp14:sizeRelH>
            <wp14:sizeRelV relativeFrom="margin">
              <wp14:pctHeight>0</wp14:pctHeight>
            </wp14:sizeRelV>
          </wp:anchor>
        </w:drawing>
      </w:r>
      <w:r w:rsidR="00EA7A30" w:rsidRPr="00582BDF">
        <w:rPr>
          <w:b/>
          <w:sz w:val="28"/>
          <w:szCs w:val="28"/>
        </w:rPr>
        <w:t>Careers and Personal Development Strategy</w:t>
      </w:r>
    </w:p>
    <w:p w14:paraId="03345CBE" w14:textId="77777777" w:rsidR="00903AA2" w:rsidRPr="00891487" w:rsidRDefault="00903AA2" w:rsidP="00601516">
      <w:pPr>
        <w:pStyle w:val="Default"/>
        <w:rPr>
          <w:rFonts w:asciiTheme="minorHAnsi" w:hAnsiTheme="minorHAnsi"/>
          <w:sz w:val="22"/>
          <w:szCs w:val="22"/>
        </w:rPr>
      </w:pPr>
    </w:p>
    <w:p w14:paraId="0AD6A8FD" w14:textId="77777777" w:rsidR="00903AA2" w:rsidRPr="00891487" w:rsidRDefault="00903AA2" w:rsidP="00601516">
      <w:pPr>
        <w:pStyle w:val="Default"/>
        <w:rPr>
          <w:rFonts w:asciiTheme="minorHAnsi" w:hAnsiTheme="minorHAnsi" w:cstheme="minorBidi"/>
          <w:b/>
          <w:color w:val="auto"/>
          <w:sz w:val="22"/>
          <w:szCs w:val="22"/>
        </w:rPr>
      </w:pPr>
      <w:r w:rsidRPr="00891487">
        <w:rPr>
          <w:rFonts w:asciiTheme="minorHAnsi" w:hAnsiTheme="minorHAnsi" w:cstheme="minorBidi"/>
          <w:b/>
          <w:color w:val="auto"/>
          <w:sz w:val="22"/>
          <w:szCs w:val="22"/>
        </w:rPr>
        <w:t>Background</w:t>
      </w:r>
    </w:p>
    <w:p w14:paraId="52EBE050" w14:textId="77777777" w:rsidR="00601516" w:rsidRPr="00891487" w:rsidRDefault="00601516" w:rsidP="00601516">
      <w:pPr>
        <w:pStyle w:val="Default"/>
        <w:rPr>
          <w:rFonts w:asciiTheme="minorHAnsi" w:hAnsiTheme="minorHAnsi"/>
          <w:sz w:val="22"/>
          <w:szCs w:val="22"/>
        </w:rPr>
      </w:pPr>
    </w:p>
    <w:p w14:paraId="03C27FA0" w14:textId="36732DC4" w:rsidR="00EA7A30" w:rsidRPr="00891487" w:rsidRDefault="00903AA2" w:rsidP="0050702A">
      <w:pPr>
        <w:pStyle w:val="Default"/>
      </w:pPr>
      <w:r w:rsidRPr="00891487">
        <w:rPr>
          <w:rFonts w:asciiTheme="minorHAnsi" w:hAnsiTheme="minorHAnsi"/>
          <w:sz w:val="22"/>
          <w:szCs w:val="22"/>
        </w:rPr>
        <w:t xml:space="preserve">In line with the Governments careers strategy, Cirencester College is </w:t>
      </w:r>
      <w:r w:rsidR="00601516" w:rsidRPr="00891487">
        <w:rPr>
          <w:rFonts w:asciiTheme="minorHAnsi" w:hAnsiTheme="minorHAnsi"/>
          <w:sz w:val="22"/>
          <w:szCs w:val="22"/>
        </w:rPr>
        <w:t>committed to improving the life chances of</w:t>
      </w:r>
      <w:r w:rsidRPr="00891487">
        <w:rPr>
          <w:rFonts w:asciiTheme="minorHAnsi" w:hAnsiTheme="minorHAnsi"/>
          <w:sz w:val="22"/>
          <w:szCs w:val="22"/>
        </w:rPr>
        <w:t xml:space="preserve"> </w:t>
      </w:r>
      <w:r w:rsidR="00BD520F" w:rsidRPr="00891487">
        <w:rPr>
          <w:rFonts w:asciiTheme="minorHAnsi" w:hAnsiTheme="minorHAnsi"/>
          <w:sz w:val="22"/>
          <w:szCs w:val="22"/>
        </w:rPr>
        <w:t>all</w:t>
      </w:r>
      <w:r w:rsidR="00601516" w:rsidRPr="00891487">
        <w:rPr>
          <w:rFonts w:asciiTheme="minorHAnsi" w:hAnsiTheme="minorHAnsi"/>
          <w:sz w:val="22"/>
          <w:szCs w:val="22"/>
        </w:rPr>
        <w:t xml:space="preserve"> their learners </w:t>
      </w:r>
      <w:r w:rsidR="00401C64" w:rsidRPr="00891487">
        <w:rPr>
          <w:rFonts w:asciiTheme="minorHAnsi" w:hAnsiTheme="minorHAnsi"/>
          <w:sz w:val="22"/>
          <w:szCs w:val="22"/>
        </w:rPr>
        <w:t>by continuing to</w:t>
      </w:r>
      <w:r w:rsidR="00601516" w:rsidRPr="00891487">
        <w:rPr>
          <w:rFonts w:asciiTheme="minorHAnsi" w:hAnsiTheme="minorHAnsi"/>
          <w:sz w:val="22"/>
          <w:szCs w:val="22"/>
        </w:rPr>
        <w:t xml:space="preserve"> offer</w:t>
      </w:r>
      <w:r w:rsidR="00401C64" w:rsidRPr="00891487">
        <w:rPr>
          <w:rFonts w:asciiTheme="minorHAnsi" w:hAnsiTheme="minorHAnsi"/>
          <w:sz w:val="22"/>
          <w:szCs w:val="22"/>
        </w:rPr>
        <w:t>, and continuously improving,</w:t>
      </w:r>
      <w:r w:rsidR="00601516" w:rsidRPr="00891487">
        <w:rPr>
          <w:rFonts w:asciiTheme="minorHAnsi" w:hAnsiTheme="minorHAnsi"/>
          <w:sz w:val="22"/>
          <w:szCs w:val="22"/>
        </w:rPr>
        <w:t xml:space="preserve"> </w:t>
      </w:r>
      <w:r w:rsidR="00401C64" w:rsidRPr="00891487">
        <w:rPr>
          <w:rFonts w:asciiTheme="minorHAnsi" w:hAnsiTheme="minorHAnsi"/>
          <w:sz w:val="22"/>
          <w:szCs w:val="22"/>
        </w:rPr>
        <w:t xml:space="preserve">a </w:t>
      </w:r>
      <w:r w:rsidR="00166CD6" w:rsidRPr="00891487">
        <w:rPr>
          <w:rFonts w:asciiTheme="minorHAnsi" w:hAnsiTheme="minorHAnsi"/>
          <w:sz w:val="22"/>
          <w:szCs w:val="22"/>
        </w:rPr>
        <w:t>high-quality</w:t>
      </w:r>
      <w:r w:rsidR="00601516" w:rsidRPr="00891487">
        <w:rPr>
          <w:rFonts w:asciiTheme="minorHAnsi" w:hAnsiTheme="minorHAnsi"/>
          <w:sz w:val="22"/>
          <w:szCs w:val="22"/>
        </w:rPr>
        <w:t xml:space="preserve"> careers programmes to meet their requirement</w:t>
      </w:r>
      <w:r w:rsidR="00603C88" w:rsidRPr="00891487">
        <w:rPr>
          <w:rFonts w:asciiTheme="minorHAnsi" w:hAnsiTheme="minorHAnsi"/>
          <w:sz w:val="22"/>
          <w:szCs w:val="22"/>
        </w:rPr>
        <w:t>s</w:t>
      </w:r>
      <w:r w:rsidR="00601516" w:rsidRPr="00891487">
        <w:rPr>
          <w:rFonts w:asciiTheme="minorHAnsi" w:hAnsiTheme="minorHAnsi"/>
          <w:sz w:val="22"/>
          <w:szCs w:val="22"/>
        </w:rPr>
        <w:t xml:space="preserve">. </w:t>
      </w:r>
    </w:p>
    <w:p w14:paraId="57A6DF6F" w14:textId="77777777" w:rsidR="00401C64" w:rsidRPr="00891487" w:rsidRDefault="00401C64">
      <w:r w:rsidRPr="00891487">
        <w:t>Cirencester College will ensure that:</w:t>
      </w:r>
    </w:p>
    <w:p w14:paraId="37D69C03" w14:textId="77777777" w:rsidR="00601516" w:rsidRPr="00891487" w:rsidRDefault="00601516" w:rsidP="00401C64">
      <w:pPr>
        <w:pStyle w:val="Default"/>
        <w:numPr>
          <w:ilvl w:val="0"/>
          <w:numId w:val="2"/>
        </w:numPr>
        <w:rPr>
          <w:rFonts w:asciiTheme="minorHAnsi" w:hAnsiTheme="minorHAnsi"/>
          <w:sz w:val="22"/>
          <w:szCs w:val="22"/>
        </w:rPr>
      </w:pPr>
      <w:r w:rsidRPr="00891487">
        <w:rPr>
          <w:rFonts w:asciiTheme="minorHAnsi" w:hAnsiTheme="minorHAnsi"/>
          <w:sz w:val="22"/>
          <w:szCs w:val="22"/>
        </w:rPr>
        <w:t xml:space="preserve">All 16 to 19 study programmes </w:t>
      </w:r>
      <w:r w:rsidR="00401C64" w:rsidRPr="00891487">
        <w:rPr>
          <w:rFonts w:asciiTheme="minorHAnsi" w:hAnsiTheme="minorHAnsi"/>
          <w:sz w:val="22"/>
          <w:szCs w:val="22"/>
        </w:rPr>
        <w:t>will</w:t>
      </w:r>
      <w:r w:rsidRPr="00891487">
        <w:rPr>
          <w:rFonts w:asciiTheme="minorHAnsi" w:hAnsiTheme="minorHAnsi"/>
          <w:sz w:val="22"/>
          <w:szCs w:val="22"/>
        </w:rPr>
        <w:t xml:space="preserve"> be focussed on progression to learning at the next level or to employment. </w:t>
      </w:r>
    </w:p>
    <w:p w14:paraId="3F2BEE24" w14:textId="77777777" w:rsidR="00601516" w:rsidRPr="00891487" w:rsidRDefault="00601516" w:rsidP="00601516">
      <w:pPr>
        <w:pStyle w:val="Default"/>
        <w:rPr>
          <w:rFonts w:asciiTheme="minorHAnsi" w:hAnsiTheme="minorHAnsi"/>
          <w:sz w:val="22"/>
          <w:szCs w:val="22"/>
        </w:rPr>
      </w:pPr>
    </w:p>
    <w:p w14:paraId="135BA6C2" w14:textId="77777777" w:rsidR="00601516" w:rsidRPr="00891487" w:rsidRDefault="00601516" w:rsidP="00401C64">
      <w:pPr>
        <w:pStyle w:val="Default"/>
        <w:numPr>
          <w:ilvl w:val="0"/>
          <w:numId w:val="2"/>
        </w:numPr>
        <w:rPr>
          <w:rFonts w:asciiTheme="minorHAnsi" w:hAnsiTheme="minorHAnsi"/>
          <w:sz w:val="22"/>
          <w:szCs w:val="22"/>
        </w:rPr>
      </w:pPr>
      <w:r w:rsidRPr="00891487">
        <w:rPr>
          <w:rFonts w:asciiTheme="minorHAnsi" w:hAnsiTheme="minorHAnsi"/>
          <w:sz w:val="22"/>
          <w:szCs w:val="22"/>
        </w:rPr>
        <w:t xml:space="preserve">Learners will </w:t>
      </w:r>
      <w:r w:rsidR="00401C64" w:rsidRPr="00891487">
        <w:rPr>
          <w:rFonts w:asciiTheme="minorHAnsi" w:hAnsiTheme="minorHAnsi"/>
          <w:sz w:val="22"/>
          <w:szCs w:val="22"/>
        </w:rPr>
        <w:t>have</w:t>
      </w:r>
      <w:r w:rsidRPr="00891487">
        <w:rPr>
          <w:rFonts w:asciiTheme="minorHAnsi" w:hAnsiTheme="minorHAnsi"/>
          <w:sz w:val="22"/>
          <w:szCs w:val="22"/>
        </w:rPr>
        <w:t xml:space="preserve"> access to high-quality support to make decisions about the next step that is right for them and to aspire to achieve their full potential. </w:t>
      </w:r>
    </w:p>
    <w:p w14:paraId="3E19257C" w14:textId="77777777" w:rsidR="00601516" w:rsidRPr="00891487" w:rsidRDefault="00601516" w:rsidP="00601516">
      <w:pPr>
        <w:pStyle w:val="Default"/>
        <w:rPr>
          <w:rFonts w:asciiTheme="minorHAnsi" w:hAnsiTheme="minorHAnsi"/>
          <w:sz w:val="22"/>
          <w:szCs w:val="22"/>
        </w:rPr>
      </w:pPr>
    </w:p>
    <w:p w14:paraId="65BFEB0C" w14:textId="77777777" w:rsidR="00601516" w:rsidRPr="00891487" w:rsidRDefault="00401C64" w:rsidP="00401C64">
      <w:pPr>
        <w:pStyle w:val="Default"/>
        <w:numPr>
          <w:ilvl w:val="0"/>
          <w:numId w:val="2"/>
        </w:numPr>
        <w:rPr>
          <w:rFonts w:asciiTheme="minorHAnsi" w:hAnsiTheme="minorHAnsi"/>
          <w:sz w:val="22"/>
          <w:szCs w:val="22"/>
        </w:rPr>
      </w:pPr>
      <w:r w:rsidRPr="00891487">
        <w:rPr>
          <w:rFonts w:asciiTheme="minorHAnsi" w:hAnsiTheme="minorHAnsi"/>
          <w:sz w:val="22"/>
          <w:szCs w:val="22"/>
        </w:rPr>
        <w:t>Learners</w:t>
      </w:r>
      <w:r w:rsidR="00601516" w:rsidRPr="00891487">
        <w:rPr>
          <w:rFonts w:asciiTheme="minorHAnsi" w:hAnsiTheme="minorHAnsi"/>
          <w:sz w:val="22"/>
          <w:szCs w:val="22"/>
        </w:rPr>
        <w:t xml:space="preserve"> in college </w:t>
      </w:r>
      <w:r w:rsidR="00603C88" w:rsidRPr="00891487">
        <w:rPr>
          <w:rFonts w:asciiTheme="minorHAnsi" w:hAnsiTheme="minorHAnsi"/>
          <w:sz w:val="22"/>
          <w:szCs w:val="22"/>
        </w:rPr>
        <w:t>will</w:t>
      </w:r>
      <w:r w:rsidR="00601516" w:rsidRPr="00891487">
        <w:rPr>
          <w:rFonts w:asciiTheme="minorHAnsi" w:hAnsiTheme="minorHAnsi"/>
          <w:sz w:val="22"/>
          <w:szCs w:val="22"/>
        </w:rPr>
        <w:t xml:space="preserve"> have access to independent careers guidance. </w:t>
      </w:r>
    </w:p>
    <w:p w14:paraId="0EA925DF" w14:textId="77777777" w:rsidR="00601516" w:rsidRPr="00891487" w:rsidRDefault="00601516" w:rsidP="00601516">
      <w:pPr>
        <w:pStyle w:val="Default"/>
        <w:rPr>
          <w:rFonts w:asciiTheme="minorHAnsi" w:hAnsiTheme="minorHAnsi"/>
          <w:sz w:val="22"/>
          <w:szCs w:val="22"/>
        </w:rPr>
      </w:pPr>
    </w:p>
    <w:p w14:paraId="5159A13F" w14:textId="31BD0D2A" w:rsidR="00601516" w:rsidRPr="00B327F2" w:rsidRDefault="00401C64" w:rsidP="00B327F2">
      <w:pPr>
        <w:pStyle w:val="Default"/>
        <w:numPr>
          <w:ilvl w:val="0"/>
          <w:numId w:val="2"/>
        </w:numPr>
        <w:spacing w:after="160"/>
        <w:rPr>
          <w:rFonts w:asciiTheme="minorHAnsi" w:hAnsiTheme="minorHAnsi"/>
          <w:sz w:val="22"/>
          <w:szCs w:val="22"/>
        </w:rPr>
      </w:pPr>
      <w:r w:rsidRPr="00891487">
        <w:rPr>
          <w:rFonts w:asciiTheme="minorHAnsi" w:hAnsiTheme="minorHAnsi"/>
          <w:sz w:val="22"/>
          <w:szCs w:val="22"/>
        </w:rPr>
        <w:t>All</w:t>
      </w:r>
      <w:r w:rsidR="00601516" w:rsidRPr="00891487">
        <w:rPr>
          <w:rFonts w:asciiTheme="minorHAnsi" w:hAnsiTheme="minorHAnsi"/>
          <w:sz w:val="22"/>
          <w:szCs w:val="22"/>
        </w:rPr>
        <w:t xml:space="preserve"> young people </w:t>
      </w:r>
      <w:r w:rsidRPr="00891487">
        <w:rPr>
          <w:rFonts w:asciiTheme="minorHAnsi" w:hAnsiTheme="minorHAnsi"/>
          <w:sz w:val="22"/>
          <w:szCs w:val="22"/>
        </w:rPr>
        <w:t xml:space="preserve">will </w:t>
      </w:r>
      <w:r w:rsidR="00601516" w:rsidRPr="00891487">
        <w:rPr>
          <w:rFonts w:asciiTheme="minorHAnsi" w:hAnsiTheme="minorHAnsi"/>
          <w:sz w:val="22"/>
          <w:szCs w:val="22"/>
        </w:rPr>
        <w:t xml:space="preserve">get a programme of advice and guidance that is stable, structured and delivered by individuals with the right skills and experience. </w:t>
      </w:r>
    </w:p>
    <w:p w14:paraId="768BC600" w14:textId="77777777" w:rsidR="00EA7A30" w:rsidRPr="00891487" w:rsidRDefault="00EA7A30">
      <w:pPr>
        <w:rPr>
          <w:b/>
        </w:rPr>
      </w:pPr>
      <w:r w:rsidRPr="00891487">
        <w:rPr>
          <w:b/>
        </w:rPr>
        <w:t>Scope</w:t>
      </w:r>
    </w:p>
    <w:p w14:paraId="6B37DF37" w14:textId="77777777" w:rsidR="00903AA2" w:rsidRPr="00891487" w:rsidRDefault="00401C64" w:rsidP="00903AA2">
      <w:r w:rsidRPr="00891487">
        <w:t>The Gatsby Benchmarks apply to a</w:t>
      </w:r>
      <w:r w:rsidR="00903AA2" w:rsidRPr="00891487">
        <w:t xml:space="preserve">ll learners in colleges up to and including the age of 18; </w:t>
      </w:r>
      <w:r w:rsidRPr="00891487">
        <w:t>and those</w:t>
      </w:r>
      <w:r w:rsidR="00903AA2" w:rsidRPr="00891487">
        <w:t xml:space="preserve"> 19- to 25-year-olds with a current Education, Health and Care (EHC) Plan in place under section 37 of the Children and Families Act 2014. </w:t>
      </w:r>
    </w:p>
    <w:p w14:paraId="597B2C80" w14:textId="0823A721" w:rsidR="00401C64" w:rsidRPr="00891487" w:rsidRDefault="00401C64">
      <w:r w:rsidRPr="00891487">
        <w:t>I</w:t>
      </w:r>
      <w:r w:rsidR="00603C88" w:rsidRPr="00891487">
        <w:t>n addition, i</w:t>
      </w:r>
      <w:r w:rsidRPr="00891487">
        <w:t xml:space="preserve">t is the College’s policy to provide this service to all of its learners, </w:t>
      </w:r>
      <w:r w:rsidR="00166CD6">
        <w:t xml:space="preserve">including those </w:t>
      </w:r>
      <w:r w:rsidRPr="00891487">
        <w:t xml:space="preserve">outside of this scope, where practicable. </w:t>
      </w:r>
    </w:p>
    <w:p w14:paraId="65671D83" w14:textId="77777777" w:rsidR="00EA7A30" w:rsidRPr="00891487" w:rsidRDefault="00EA7A30">
      <w:pPr>
        <w:rPr>
          <w:b/>
        </w:rPr>
      </w:pPr>
      <w:r w:rsidRPr="00891487">
        <w:rPr>
          <w:b/>
        </w:rPr>
        <w:t>Pre-entry CIAG</w:t>
      </w:r>
    </w:p>
    <w:p w14:paraId="3FE423D3" w14:textId="288E1743" w:rsidR="00603C88" w:rsidRPr="00891487" w:rsidRDefault="00603C88">
      <w:r w:rsidRPr="00891487">
        <w:t xml:space="preserve">Cirencester College will work with feeder schools to provide information, advice and support about all options available to a young person post 16. It will support schools to raise the aspirations of young people, </w:t>
      </w:r>
      <w:r w:rsidR="00166CD6">
        <w:t>hosting taster events</w:t>
      </w:r>
      <w:r w:rsidRPr="00891487">
        <w:t xml:space="preserve"> and transition support as appropriate.</w:t>
      </w:r>
    </w:p>
    <w:p w14:paraId="2E3F2B72" w14:textId="68815FA5" w:rsidR="00603C88" w:rsidRPr="00891487" w:rsidRDefault="00603C88">
      <w:r w:rsidRPr="00891487">
        <w:t xml:space="preserve">The College will hold a series of open days and </w:t>
      </w:r>
      <w:r w:rsidR="00DF0034">
        <w:t xml:space="preserve">information </w:t>
      </w:r>
      <w:r w:rsidRPr="00891487">
        <w:t xml:space="preserve">evenings </w:t>
      </w:r>
      <w:r w:rsidR="00DF0034">
        <w:t xml:space="preserve">covering apprenticeships and options for high achievers, </w:t>
      </w:r>
      <w:r w:rsidRPr="00891487">
        <w:t>to give young people the opportunity to explore their options</w:t>
      </w:r>
      <w:r w:rsidR="00CA2A2D" w:rsidRPr="00891487">
        <w:t xml:space="preserve"> in greater detail. A key part of these events will be the careers hub where young people can talk to appropriately qualified careers professionals to help them, where necessary, to identify a career goal and a pathway to achieving their goal.</w:t>
      </w:r>
    </w:p>
    <w:p w14:paraId="48728D6E" w14:textId="6E1F20C1" w:rsidR="00CA2A2D" w:rsidRPr="00891487" w:rsidRDefault="00CA2A2D">
      <w:r w:rsidRPr="00891487">
        <w:lastRenderedPageBreak/>
        <w:t>The admissions process will facilitate and ensure recruitment with integrity. Young people will be supported to make the best decision for them as an individual and their career goals. This may be that the young person needs to take an extra step to their destination</w:t>
      </w:r>
      <w:r w:rsidR="001C2201">
        <w:t>,</w:t>
      </w:r>
      <w:r w:rsidRPr="00891487">
        <w:t xml:space="preserve"> or it may be that they choose something other than the college environment. To help young peo</w:t>
      </w:r>
      <w:r w:rsidR="00891487">
        <w:t>ple to make this decision, the C</w:t>
      </w:r>
      <w:r w:rsidRPr="00891487">
        <w:t xml:space="preserve">ollege will offer a series of opportunities, such as choices events </w:t>
      </w:r>
      <w:r w:rsidR="003A5073" w:rsidRPr="00891487">
        <w:t>and tasters,</w:t>
      </w:r>
      <w:r w:rsidRPr="00891487">
        <w:t xml:space="preserve"> for them to understand and experience college life and their subject choices</w:t>
      </w:r>
      <w:r w:rsidR="003A5073" w:rsidRPr="00891487">
        <w:t xml:space="preserve"> before making their decision</w:t>
      </w:r>
      <w:r w:rsidRPr="00891487">
        <w:t>.</w:t>
      </w:r>
    </w:p>
    <w:p w14:paraId="6DA886B5" w14:textId="759DBD06" w:rsidR="003A5073" w:rsidRPr="00891487" w:rsidRDefault="003A5073">
      <w:r w:rsidRPr="00891487">
        <w:t>For those young people who are disappointed by their GCSE results and are put in a position of needing to re-evaluate their path to their career aim, the College will ensure appropriate time for exploration of options and subsequent reflection, by means of an extended careers led induction programme, to support the young person in making an informed decision about their progression pathway.</w:t>
      </w:r>
      <w:r w:rsidR="001C2201">
        <w:t xml:space="preserve"> In addition, the language used will be around positive progression avoiding any implication of failure.</w:t>
      </w:r>
    </w:p>
    <w:p w14:paraId="7544AE1C" w14:textId="77777777" w:rsidR="002E23B8" w:rsidRPr="00891487" w:rsidRDefault="002E23B8">
      <w:r w:rsidRPr="00891487">
        <w:t xml:space="preserve">The college website and prospectus outline progression routes for each of our courses illustrating actual destinations of our students, </w:t>
      </w:r>
      <w:r w:rsidR="005666A7" w:rsidRPr="00891487">
        <w:t>the</w:t>
      </w:r>
      <w:r w:rsidRPr="00891487">
        <w:t xml:space="preserve"> potential career </w:t>
      </w:r>
      <w:r w:rsidR="005666A7" w:rsidRPr="00891487">
        <w:t>opportunities</w:t>
      </w:r>
      <w:r w:rsidRPr="00891487">
        <w:t xml:space="preserve"> associated with that subject and the labour market information relating to the respec</w:t>
      </w:r>
      <w:r w:rsidR="005666A7" w:rsidRPr="00891487">
        <w:t>tive sector including average salary information</w:t>
      </w:r>
      <w:r w:rsidR="00BC1573" w:rsidRPr="00891487">
        <w:t>.</w:t>
      </w:r>
      <w:r w:rsidRPr="00891487">
        <w:t xml:space="preserve"> </w:t>
      </w:r>
    </w:p>
    <w:p w14:paraId="66D858C9" w14:textId="77777777" w:rsidR="00EA7A30" w:rsidRPr="00891487" w:rsidRDefault="00EA7A30">
      <w:pPr>
        <w:rPr>
          <w:b/>
        </w:rPr>
      </w:pPr>
      <w:r w:rsidRPr="00891487">
        <w:rPr>
          <w:b/>
        </w:rPr>
        <w:t>On programme careers education and support</w:t>
      </w:r>
    </w:p>
    <w:p w14:paraId="14D31786" w14:textId="77777777" w:rsidR="003A5073" w:rsidRPr="00891487" w:rsidRDefault="003A5073">
      <w:r w:rsidRPr="00891487">
        <w:t>Cirencester College will provide a comprehensive</w:t>
      </w:r>
      <w:r w:rsidR="007B0995" w:rsidRPr="00891487">
        <w:t xml:space="preserve"> and tailored progression programme as follows:</w:t>
      </w:r>
    </w:p>
    <w:p w14:paraId="013A36DE" w14:textId="05E13AE2" w:rsidR="007B0995" w:rsidRDefault="007B0995" w:rsidP="00EA7A30">
      <w:pPr>
        <w:pStyle w:val="ListParagraph"/>
        <w:numPr>
          <w:ilvl w:val="0"/>
          <w:numId w:val="1"/>
        </w:numPr>
      </w:pPr>
      <w:r w:rsidRPr="00891487">
        <w:t>Full-time students are supported in a tutor group which will have elements of career and industry specific information.</w:t>
      </w:r>
    </w:p>
    <w:p w14:paraId="31578531" w14:textId="21A9F257" w:rsidR="006D0D27" w:rsidRPr="00891487" w:rsidRDefault="006D0D27" w:rsidP="00EA7A30">
      <w:pPr>
        <w:pStyle w:val="ListParagraph"/>
        <w:numPr>
          <w:ilvl w:val="0"/>
          <w:numId w:val="1"/>
        </w:numPr>
      </w:pPr>
      <w:r>
        <w:t>Opportunities for linking curriculum learning to careers is embedded into classroom delivery</w:t>
      </w:r>
      <w:r w:rsidR="00947968" w:rsidRPr="00947968">
        <w:t xml:space="preserve"> </w:t>
      </w:r>
      <w:r w:rsidR="00947968">
        <w:t>including visiting speakers</w:t>
      </w:r>
      <w:r>
        <w:t>; during National Careers Week a tailored focus on careers which supports the student visit to the HE and Employer Convention. STEM subjects promote a wide range of career options in this field and students participate in competitions to enhance their knowledge of related industries.</w:t>
      </w:r>
    </w:p>
    <w:p w14:paraId="059D7888" w14:textId="3DBB198F" w:rsidR="00BC1573" w:rsidRPr="00891487" w:rsidRDefault="00BC1573" w:rsidP="00EA7A30">
      <w:pPr>
        <w:pStyle w:val="ListParagraph"/>
        <w:numPr>
          <w:ilvl w:val="0"/>
          <w:numId w:val="1"/>
        </w:numPr>
      </w:pPr>
      <w:r w:rsidRPr="00891487">
        <w:t xml:space="preserve">Young people will undertake a skills audit </w:t>
      </w:r>
      <w:r w:rsidR="007D2EB1">
        <w:t>during their tutor programme</w:t>
      </w:r>
      <w:r w:rsidR="00891487">
        <w:t>,</w:t>
      </w:r>
      <w:r w:rsidR="00BF0D93">
        <w:t xml:space="preserve"> </w:t>
      </w:r>
      <w:r w:rsidR="00601B97">
        <w:t>to</w:t>
      </w:r>
      <w:r w:rsidR="00891487">
        <w:t xml:space="preserve"> help to direct their personal development, giving them more confidence in employability and life skills.</w:t>
      </w:r>
      <w:r w:rsidR="009F517A">
        <w:t xml:space="preserve"> This will be facilitated through </w:t>
      </w:r>
      <w:proofErr w:type="spellStart"/>
      <w:r w:rsidR="009F517A">
        <w:t>Uni</w:t>
      </w:r>
      <w:r w:rsidR="009603BE">
        <w:t>frog</w:t>
      </w:r>
      <w:proofErr w:type="spellEnd"/>
      <w:r w:rsidR="009603BE">
        <w:t>, forming a clear picture of their career aims and aspirations.</w:t>
      </w:r>
    </w:p>
    <w:p w14:paraId="05259C37" w14:textId="03A82E63" w:rsidR="007B0995" w:rsidRPr="00891487" w:rsidRDefault="007B0995" w:rsidP="007B0995">
      <w:pPr>
        <w:pStyle w:val="ListParagraph"/>
        <w:numPr>
          <w:ilvl w:val="0"/>
          <w:numId w:val="1"/>
        </w:numPr>
      </w:pPr>
      <w:r w:rsidRPr="00891487">
        <w:t>T</w:t>
      </w:r>
      <w:r w:rsidR="00891487">
        <w:t>he t</w:t>
      </w:r>
      <w:r w:rsidRPr="00891487">
        <w:t xml:space="preserve">utorial taught programme </w:t>
      </w:r>
      <w:r w:rsidR="002E23B8" w:rsidRPr="00891487">
        <w:t>include</w:t>
      </w:r>
      <w:r w:rsidR="00BF0D93">
        <w:t>s</w:t>
      </w:r>
      <w:r w:rsidR="002E23B8" w:rsidRPr="00891487">
        <w:t xml:space="preserve"> information, advice and skills development which will prepare young people for adult life. It will be tailored by ambition aim and level</w:t>
      </w:r>
      <w:r w:rsidR="00BF0D93">
        <w:t>,</w:t>
      </w:r>
      <w:r w:rsidR="002E23B8" w:rsidRPr="00891487">
        <w:t xml:space="preserve"> where appropriate</w:t>
      </w:r>
      <w:r w:rsidR="00BF0D93">
        <w:t>,</w:t>
      </w:r>
      <w:r w:rsidR="002E23B8" w:rsidRPr="00891487">
        <w:t xml:space="preserve"> and support young people on their chosen career pathway.</w:t>
      </w:r>
    </w:p>
    <w:p w14:paraId="0EE6988D" w14:textId="2ED55E45" w:rsidR="002E23B8" w:rsidRPr="00891487" w:rsidRDefault="002E23B8" w:rsidP="002E23B8">
      <w:pPr>
        <w:pStyle w:val="ListParagraph"/>
        <w:numPr>
          <w:ilvl w:val="0"/>
          <w:numId w:val="1"/>
        </w:numPr>
      </w:pPr>
      <w:r w:rsidRPr="00891487">
        <w:t xml:space="preserve">High achieving young people </w:t>
      </w:r>
      <w:r w:rsidR="00980291">
        <w:t xml:space="preserve">will be offered the opportunity to join the High Achievers Academy </w:t>
      </w:r>
      <w:r w:rsidR="00707CFE">
        <w:t xml:space="preserve">(HAA) </w:t>
      </w:r>
      <w:r w:rsidR="00980291">
        <w:t>at enrolment</w:t>
      </w:r>
      <w:r w:rsidR="00707CFE">
        <w:t>. The HAA</w:t>
      </w:r>
      <w:r w:rsidRPr="00891487">
        <w:t xml:space="preserve"> develops their skills towards the Oxbridge entrance exams, Russell Group and Medicine/Veterinary</w:t>
      </w:r>
      <w:r w:rsidR="00BF0D93">
        <w:t>/Dentistry</w:t>
      </w:r>
      <w:r w:rsidRPr="00891487">
        <w:t xml:space="preserve"> applications. </w:t>
      </w:r>
    </w:p>
    <w:p w14:paraId="576C76E6" w14:textId="505B62F4" w:rsidR="00EA7A30" w:rsidRPr="00891487" w:rsidRDefault="00EA7A30" w:rsidP="00ED3EFA">
      <w:pPr>
        <w:pStyle w:val="ListParagraph"/>
        <w:numPr>
          <w:ilvl w:val="0"/>
          <w:numId w:val="1"/>
        </w:numPr>
      </w:pPr>
      <w:r w:rsidRPr="00DF0034">
        <w:t>Careers education</w:t>
      </w:r>
      <w:r w:rsidR="00891487" w:rsidRPr="00DF0034">
        <w:t xml:space="preserve"> is integrated into the tutor programme and one-to</w:t>
      </w:r>
      <w:r w:rsidR="00CC060D" w:rsidRPr="00DF0034">
        <w:t>-one support is available from</w:t>
      </w:r>
      <w:r w:rsidR="00891487" w:rsidRPr="00DF0034">
        <w:t xml:space="preserve"> Level 6</w:t>
      </w:r>
      <w:r w:rsidR="00891487">
        <w:t xml:space="preserve"> qualified careers professional</w:t>
      </w:r>
      <w:r w:rsidR="00CC060D">
        <w:t>s</w:t>
      </w:r>
      <w:r w:rsidR="00891487">
        <w:t xml:space="preserve"> for those who need a more in-depth </w:t>
      </w:r>
      <w:r w:rsidR="00CC060D">
        <w:t>intervention. The C</w:t>
      </w:r>
      <w:r w:rsidR="00891487">
        <w:t xml:space="preserve">ollege makes use of tools such as </w:t>
      </w:r>
      <w:proofErr w:type="spellStart"/>
      <w:r w:rsidR="00C71351">
        <w:t>Unifrog</w:t>
      </w:r>
      <w:proofErr w:type="spellEnd"/>
      <w:r w:rsidR="00C71351">
        <w:t xml:space="preserve">, </w:t>
      </w:r>
      <w:r w:rsidR="00891487">
        <w:t>Morrisby, Career Pilot</w:t>
      </w:r>
      <w:r w:rsidR="00D13B96">
        <w:t xml:space="preserve"> and </w:t>
      </w:r>
      <w:proofErr w:type="spellStart"/>
      <w:r w:rsidR="00891487">
        <w:t>iCould</w:t>
      </w:r>
      <w:proofErr w:type="spellEnd"/>
      <w:r w:rsidR="00D13B96">
        <w:t>,</w:t>
      </w:r>
      <w:r w:rsidR="00891487">
        <w:t xml:space="preserve"> </w:t>
      </w:r>
      <w:r w:rsidR="00937E0E">
        <w:t>to support students in making the right choices for them.</w:t>
      </w:r>
    </w:p>
    <w:p w14:paraId="771A3190" w14:textId="77777777" w:rsidR="00EA7A30" w:rsidRPr="00891487" w:rsidRDefault="00EA7A30" w:rsidP="00EA7A30">
      <w:pPr>
        <w:pStyle w:val="ListParagraph"/>
        <w:numPr>
          <w:ilvl w:val="0"/>
          <w:numId w:val="1"/>
        </w:numPr>
      </w:pPr>
      <w:r w:rsidRPr="00891487">
        <w:t>Apprenticeships</w:t>
      </w:r>
      <w:r w:rsidR="00937E0E">
        <w:t>, what they are, how they work and how to apply</w:t>
      </w:r>
      <w:r w:rsidR="00CC060D">
        <w:t>,</w:t>
      </w:r>
      <w:r w:rsidR="00937E0E">
        <w:t xml:space="preserve"> is integrated into the tutorial programme. All students get an overview of apprenticeships and those who express an interest are given the opportunity to develop their understanding further and are supported to develop skills in finding an appropriate opportunity, through the application process and with interview and employability skills.</w:t>
      </w:r>
    </w:p>
    <w:p w14:paraId="42EC639D" w14:textId="6983A564" w:rsidR="00DD373C" w:rsidRDefault="00784E6F" w:rsidP="00EA7A30">
      <w:pPr>
        <w:pStyle w:val="ListParagraph"/>
        <w:numPr>
          <w:ilvl w:val="0"/>
          <w:numId w:val="1"/>
        </w:numPr>
      </w:pPr>
      <w:r>
        <w:lastRenderedPageBreak/>
        <w:t xml:space="preserve">Work </w:t>
      </w:r>
      <w:r w:rsidR="002A3AEE">
        <w:t>p</w:t>
      </w:r>
      <w:r>
        <w:t>reparation in the form</w:t>
      </w:r>
      <w:r w:rsidR="00D9325C">
        <w:t xml:space="preserve"> of experiences of the workplace is an expectation for all students. All </w:t>
      </w:r>
      <w:r w:rsidR="009123A8">
        <w:t>non-T</w:t>
      </w:r>
      <w:r w:rsidR="00ED3F13">
        <w:t>-level students are expected</w:t>
      </w:r>
      <w:r w:rsidR="00832557">
        <w:t xml:space="preserve"> to complete at least one online experience in year 1 of their study</w:t>
      </w:r>
      <w:r w:rsidR="00BF553F">
        <w:t xml:space="preserve">. For those students undertaking a T-level qualification, there is a minimum of 45 </w:t>
      </w:r>
      <w:r w:rsidR="009123A8">
        <w:t>days’</w:t>
      </w:r>
      <w:r w:rsidR="00BF553F">
        <w:t xml:space="preserve"> work placement as an integral part of their programme</w:t>
      </w:r>
      <w:r w:rsidR="002A3AEE">
        <w:t>.</w:t>
      </w:r>
      <w:r w:rsidR="00DF0034">
        <w:t xml:space="preserve"> </w:t>
      </w:r>
      <w:r w:rsidR="00304620">
        <w:t>All learners will be encouraged to reflect on the skills they have developed/are developing through work placements or part-time jobs.</w:t>
      </w:r>
    </w:p>
    <w:p w14:paraId="01B65315" w14:textId="12482706" w:rsidR="00CC060D" w:rsidRDefault="00CC060D" w:rsidP="00EA7A30">
      <w:pPr>
        <w:pStyle w:val="ListParagraph"/>
        <w:numPr>
          <w:ilvl w:val="0"/>
          <w:numId w:val="1"/>
        </w:numPr>
      </w:pPr>
      <w:r w:rsidRPr="00FC067B">
        <w:t>Through the</w:t>
      </w:r>
      <w:r>
        <w:t xml:space="preserve"> curriculum, learners meet and hear about the lived experiences of </w:t>
      </w:r>
      <w:r w:rsidR="000E5743">
        <w:t>relevant workplaces</w:t>
      </w:r>
      <w:r>
        <w:t xml:space="preserve"> through a tailored programme of visiting </w:t>
      </w:r>
      <w:r w:rsidR="000E5743">
        <w:t xml:space="preserve">employer </w:t>
      </w:r>
      <w:r w:rsidR="00FC067B">
        <w:t xml:space="preserve">and alumni </w:t>
      </w:r>
      <w:r>
        <w:t>speakers.</w:t>
      </w:r>
    </w:p>
    <w:p w14:paraId="4A9E0653" w14:textId="4DE44079" w:rsidR="00DD373C" w:rsidRDefault="00491BE1" w:rsidP="00491BE1">
      <w:pPr>
        <w:pStyle w:val="ListParagraph"/>
        <w:numPr>
          <w:ilvl w:val="0"/>
          <w:numId w:val="1"/>
        </w:numPr>
      </w:pPr>
      <w:r>
        <w:t xml:space="preserve">All </w:t>
      </w:r>
      <w:r w:rsidR="00FC067B">
        <w:t>first-</w:t>
      </w:r>
      <w:r>
        <w:t xml:space="preserve">year students attend </w:t>
      </w:r>
      <w:r w:rsidR="00DD373C">
        <w:t xml:space="preserve">the </w:t>
      </w:r>
      <w:r>
        <w:t xml:space="preserve">college run </w:t>
      </w:r>
      <w:r w:rsidR="00A6454E">
        <w:t xml:space="preserve">HE and Employers Convention </w:t>
      </w:r>
      <w:r w:rsidR="00DD373C">
        <w:t>which give students and parents the opportunity</w:t>
      </w:r>
      <w:r>
        <w:t xml:space="preserve"> to talk to many universities and employers about progression options. Students are prepared in their tutor groups</w:t>
      </w:r>
      <w:r w:rsidRPr="00491BE1">
        <w:t xml:space="preserve"> </w:t>
      </w:r>
      <w:r>
        <w:t>to ensure they get the most out of this event</w:t>
      </w:r>
      <w:r w:rsidR="00FC067B">
        <w:t xml:space="preserve"> and are encouraged to reflect and provide feedback</w:t>
      </w:r>
      <w:r>
        <w:t>.</w:t>
      </w:r>
    </w:p>
    <w:p w14:paraId="2B6572C0" w14:textId="3E1840A4" w:rsidR="00EA7A30" w:rsidRDefault="00491BE1" w:rsidP="00491BE1">
      <w:pPr>
        <w:pStyle w:val="ListParagraph"/>
        <w:numPr>
          <w:ilvl w:val="0"/>
          <w:numId w:val="1"/>
        </w:numPr>
      </w:pPr>
      <w:r>
        <w:t xml:space="preserve">All students </w:t>
      </w:r>
      <w:r w:rsidR="009123A8">
        <w:t>can</w:t>
      </w:r>
      <w:r>
        <w:t xml:space="preserve"> attend a series of progression events such as the </w:t>
      </w:r>
      <w:r w:rsidR="00A6454E">
        <w:t xml:space="preserve">college run </w:t>
      </w:r>
      <w:r>
        <w:t xml:space="preserve">Apprenticeship Fair and </w:t>
      </w:r>
      <w:r w:rsidR="00A6454E">
        <w:t xml:space="preserve">HE and Employers Convention </w:t>
      </w:r>
      <w:r w:rsidRPr="0050702A">
        <w:t>to help with their progression decision.</w:t>
      </w:r>
    </w:p>
    <w:p w14:paraId="6DEFFD00" w14:textId="7F0C5791" w:rsidR="00491BE1" w:rsidRDefault="00491BE1" w:rsidP="00491BE1">
      <w:pPr>
        <w:pStyle w:val="ListParagraph"/>
        <w:numPr>
          <w:ilvl w:val="0"/>
          <w:numId w:val="1"/>
        </w:numPr>
      </w:pPr>
      <w:r>
        <w:t xml:space="preserve">For students wishing to go to university, open day dates are promoted </w:t>
      </w:r>
      <w:r w:rsidR="00FC067B">
        <w:t xml:space="preserve">through the careers and job portal </w:t>
      </w:r>
      <w:r>
        <w:t>and travel support</w:t>
      </w:r>
      <w:r w:rsidR="004A4A79">
        <w:t xml:space="preserve"> </w:t>
      </w:r>
      <w:r w:rsidR="00C62F4A">
        <w:t>may be</w:t>
      </w:r>
      <w:r>
        <w:t xml:space="preserve"> available for those who need it.</w:t>
      </w:r>
    </w:p>
    <w:p w14:paraId="2AC9CD41" w14:textId="101AF587" w:rsidR="00491BE1" w:rsidRDefault="00491BE1" w:rsidP="00491BE1">
      <w:pPr>
        <w:pStyle w:val="ListParagraph"/>
        <w:numPr>
          <w:ilvl w:val="0"/>
          <w:numId w:val="1"/>
        </w:numPr>
      </w:pPr>
      <w:r>
        <w:t xml:space="preserve">For students looking for an apprenticeship, </w:t>
      </w:r>
      <w:r w:rsidR="00431883">
        <w:t xml:space="preserve">employment or a part-time job, the College operates an online </w:t>
      </w:r>
      <w:r w:rsidR="00FC067B">
        <w:t>J</w:t>
      </w:r>
      <w:r w:rsidR="00431883">
        <w:t>ob</w:t>
      </w:r>
      <w:r w:rsidR="00FC067B">
        <w:t xml:space="preserve"> Shop </w:t>
      </w:r>
      <w:r w:rsidR="00431883">
        <w:t>promoting work placements, job</w:t>
      </w:r>
      <w:r w:rsidR="00FC067B">
        <w:t>,</w:t>
      </w:r>
      <w:r w:rsidR="00431883">
        <w:t xml:space="preserve"> and apprenticeship vacancies</w:t>
      </w:r>
      <w:r w:rsidR="00FC067B">
        <w:t>.</w:t>
      </w:r>
    </w:p>
    <w:p w14:paraId="0E934A7C" w14:textId="6E952EE2" w:rsidR="00D95194" w:rsidRDefault="006D0D27" w:rsidP="008A326E">
      <w:pPr>
        <w:pStyle w:val="ListParagraph"/>
        <w:numPr>
          <w:ilvl w:val="0"/>
          <w:numId w:val="1"/>
        </w:numPr>
      </w:pPr>
      <w:r>
        <w:t xml:space="preserve">All students </w:t>
      </w:r>
      <w:r w:rsidR="009123A8">
        <w:t>can</w:t>
      </w:r>
      <w:r>
        <w:t xml:space="preserve"> participate in a wide range of enrichment activities which enhance their academic, employability</w:t>
      </w:r>
      <w:r w:rsidR="00FC067B">
        <w:t>, wellbeing,</w:t>
      </w:r>
      <w:r>
        <w:t xml:space="preserve"> and life skills.</w:t>
      </w:r>
    </w:p>
    <w:tbl>
      <w:tblPr>
        <w:tblW w:w="14024" w:type="dxa"/>
        <w:tblCellMar>
          <w:left w:w="0" w:type="dxa"/>
          <w:right w:w="0" w:type="dxa"/>
        </w:tblCellMar>
        <w:tblLook w:val="04A0" w:firstRow="1" w:lastRow="0" w:firstColumn="1" w:lastColumn="0" w:noHBand="0" w:noVBand="1"/>
      </w:tblPr>
      <w:tblGrid>
        <w:gridCol w:w="5093"/>
        <w:gridCol w:w="8931"/>
      </w:tblGrid>
      <w:tr w:rsidR="00D95194" w14:paraId="254FB254" w14:textId="77777777" w:rsidTr="009123A8">
        <w:tc>
          <w:tcPr>
            <w:tcW w:w="5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53063" w14:textId="1472773A" w:rsidR="00D95194" w:rsidRDefault="00D95194">
            <w:pPr>
              <w:rPr>
                <w:b/>
                <w:bCs/>
              </w:rPr>
            </w:pPr>
            <w:r>
              <w:rPr>
                <w:b/>
                <w:bCs/>
              </w:rPr>
              <w:t xml:space="preserve">Student Group </w:t>
            </w:r>
          </w:p>
        </w:tc>
        <w:tc>
          <w:tcPr>
            <w:tcW w:w="8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E4592" w14:textId="77777777" w:rsidR="00D95194" w:rsidRDefault="00D95194">
            <w:pPr>
              <w:rPr>
                <w:b/>
                <w:bCs/>
              </w:rPr>
            </w:pPr>
            <w:r>
              <w:rPr>
                <w:b/>
                <w:bCs/>
              </w:rPr>
              <w:t>Opportunities and Expectations</w:t>
            </w:r>
          </w:p>
        </w:tc>
      </w:tr>
      <w:tr w:rsidR="00D95194" w14:paraId="0704FF17" w14:textId="77777777" w:rsidTr="009123A8">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2678F" w14:textId="4E1E6D40" w:rsidR="00D95194" w:rsidRPr="00033E80" w:rsidRDefault="0048501C">
            <w:pPr>
              <w:rPr>
                <w:b/>
                <w:bCs/>
              </w:rPr>
            </w:pPr>
            <w:r>
              <w:rPr>
                <w:b/>
                <w:bCs/>
              </w:rPr>
              <w:t>Level 3</w:t>
            </w:r>
            <w:r w:rsidR="00033E80">
              <w:rPr>
                <w:b/>
                <w:bCs/>
              </w:rPr>
              <w:t xml:space="preserve"> </w:t>
            </w:r>
            <w:r w:rsidR="00D95194">
              <w:t>student</w:t>
            </w:r>
            <w:r w:rsidR="00033E80">
              <w:t>s</w:t>
            </w:r>
            <w:r w:rsidR="00D95194">
              <w:t xml:space="preserve"> </w:t>
            </w:r>
            <w:r w:rsidR="00916349">
              <w:t>doing</w:t>
            </w:r>
            <w:r w:rsidR="009138CF">
              <w:t xml:space="preserve"> A-level</w:t>
            </w:r>
            <w:r w:rsidR="00916349">
              <w:t xml:space="preserve">s, </w:t>
            </w:r>
            <w:r w:rsidR="00D95194">
              <w:t xml:space="preserve">a mixed programme of A-level and vocational level 3 </w:t>
            </w:r>
          </w:p>
        </w:tc>
        <w:tc>
          <w:tcPr>
            <w:tcW w:w="8931" w:type="dxa"/>
            <w:tcBorders>
              <w:top w:val="nil"/>
              <w:left w:val="nil"/>
              <w:bottom w:val="single" w:sz="8" w:space="0" w:color="auto"/>
              <w:right w:val="single" w:sz="8" w:space="0" w:color="auto"/>
            </w:tcBorders>
            <w:tcMar>
              <w:top w:w="0" w:type="dxa"/>
              <w:left w:w="108" w:type="dxa"/>
              <w:bottom w:w="0" w:type="dxa"/>
              <w:right w:w="108" w:type="dxa"/>
            </w:tcMar>
            <w:hideMark/>
          </w:tcPr>
          <w:p w14:paraId="6B85CC8C" w14:textId="39F8E268" w:rsidR="00D95194" w:rsidRDefault="00053A8C" w:rsidP="001C0D6E">
            <w:r>
              <w:t xml:space="preserve">Work experiences arranged independently (logged on individual PDPs)/ </w:t>
            </w:r>
            <w:proofErr w:type="spellStart"/>
            <w:r w:rsidR="00D95194">
              <w:t>Springpod</w:t>
            </w:r>
            <w:proofErr w:type="spellEnd"/>
            <w:r w:rsidR="00D95194">
              <w:t xml:space="preserve"> virtual work experiences/ other Virtual Experiences and/ or Super curricular opportunities</w:t>
            </w:r>
            <w:r w:rsidR="001C0D6E">
              <w:t>,</w:t>
            </w:r>
            <w:r w:rsidR="00D95194">
              <w:t xml:space="preserve"> advertised on CCO</w:t>
            </w:r>
            <w:r w:rsidR="001C0D6E">
              <w:t>,</w:t>
            </w:r>
            <w:r w:rsidR="00D95194">
              <w:t xml:space="preserve"> in combination with independent study and any on-going volunteer placements for access to vocational degrees such as teaching/ medicine/ Nursing/ Social Work/ Allied Health Professions etc. </w:t>
            </w:r>
            <w:r w:rsidR="001C0D6E">
              <w:t xml:space="preserve"> </w:t>
            </w:r>
            <w:r w:rsidR="00D95194">
              <w:t xml:space="preserve">Specifics </w:t>
            </w:r>
            <w:r w:rsidR="001C0D6E">
              <w:t>are</w:t>
            </w:r>
            <w:r w:rsidR="00D95194">
              <w:t xml:space="preserve"> recorded on the PDP. </w:t>
            </w:r>
          </w:p>
        </w:tc>
      </w:tr>
      <w:tr w:rsidR="00D95194" w14:paraId="0DDCEC04" w14:textId="77777777" w:rsidTr="009123A8">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96528" w14:textId="2E70DDCB" w:rsidR="00D95194" w:rsidRDefault="008A326E">
            <w:pPr>
              <w:autoSpaceDE w:val="0"/>
              <w:autoSpaceDN w:val="0"/>
              <w:spacing w:line="276" w:lineRule="auto"/>
              <w:rPr>
                <w:lang w:eastAsia="en-GB"/>
              </w:rPr>
            </w:pPr>
            <w:r>
              <w:rPr>
                <w:b/>
                <w:bCs/>
              </w:rPr>
              <w:t xml:space="preserve">Level 3 </w:t>
            </w:r>
            <w:r w:rsidR="00D95194">
              <w:rPr>
                <w:b/>
                <w:bCs/>
              </w:rPr>
              <w:t xml:space="preserve">T-level students, </w:t>
            </w:r>
            <w:r w:rsidR="00D95194">
              <w:t xml:space="preserve">whilst </w:t>
            </w:r>
            <w:r w:rsidR="001C0D6E">
              <w:t>learners</w:t>
            </w:r>
            <w:r w:rsidR="00D95194">
              <w:t xml:space="preserve"> could be going to university or straight into employment, </w:t>
            </w:r>
            <w:r w:rsidR="00D95194">
              <w:rPr>
                <w:lang w:eastAsia="en-GB"/>
              </w:rPr>
              <w:t xml:space="preserve">related work experience is a specific requirement of </w:t>
            </w:r>
            <w:r w:rsidR="001C0D6E">
              <w:rPr>
                <w:lang w:eastAsia="en-GB"/>
              </w:rPr>
              <w:t>the</w:t>
            </w:r>
            <w:r w:rsidR="00D95194">
              <w:rPr>
                <w:lang w:eastAsia="en-GB"/>
              </w:rPr>
              <w:t xml:space="preserve"> course.  </w:t>
            </w:r>
          </w:p>
        </w:tc>
        <w:tc>
          <w:tcPr>
            <w:tcW w:w="8931" w:type="dxa"/>
            <w:tcBorders>
              <w:top w:val="nil"/>
              <w:left w:val="nil"/>
              <w:bottom w:val="single" w:sz="8" w:space="0" w:color="auto"/>
              <w:right w:val="single" w:sz="8" w:space="0" w:color="auto"/>
            </w:tcBorders>
            <w:tcMar>
              <w:top w:w="0" w:type="dxa"/>
              <w:left w:w="108" w:type="dxa"/>
              <w:bottom w:w="0" w:type="dxa"/>
              <w:right w:w="108" w:type="dxa"/>
            </w:tcMar>
            <w:hideMark/>
          </w:tcPr>
          <w:p w14:paraId="57CA7AFC" w14:textId="0775CB5A" w:rsidR="00D95194" w:rsidRDefault="00D95194">
            <w:r>
              <w:t xml:space="preserve">Employability skills development and guidance from course teams, ongoing/embedded in </w:t>
            </w:r>
            <w:r w:rsidR="001C0D6E">
              <w:t>the</w:t>
            </w:r>
            <w:r>
              <w:t xml:space="preserve"> programme. No specific requirement during work experience week although </w:t>
            </w:r>
            <w:r w:rsidR="001C0D6E">
              <w:t>they</w:t>
            </w:r>
            <w:r>
              <w:t xml:space="preserve"> may wish to use the week to build up </w:t>
            </w:r>
            <w:r w:rsidR="001C0D6E">
              <w:t>thei</w:t>
            </w:r>
            <w:r>
              <w:t xml:space="preserve">r </w:t>
            </w:r>
            <w:r w:rsidR="00AC75D6">
              <w:t xml:space="preserve">placement </w:t>
            </w:r>
            <w:r>
              <w:t xml:space="preserve">hours. </w:t>
            </w:r>
            <w:r w:rsidR="001C0D6E">
              <w:t>Learners</w:t>
            </w:r>
            <w:r>
              <w:t xml:space="preserve"> are </w:t>
            </w:r>
            <w:r w:rsidR="001C0D6E">
              <w:t>able</w:t>
            </w:r>
            <w:r>
              <w:t xml:space="preserve"> to sign up for the Springboard virtual work experiences and other virtual opportunities via CCO</w:t>
            </w:r>
            <w:r w:rsidR="001C0D6E">
              <w:t xml:space="preserve"> to broaden their experience</w:t>
            </w:r>
            <w:r>
              <w:t xml:space="preserve">. </w:t>
            </w:r>
          </w:p>
        </w:tc>
      </w:tr>
      <w:tr w:rsidR="00D95194" w14:paraId="14B2276A" w14:textId="77777777" w:rsidTr="009123A8">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72074" w14:textId="77777777" w:rsidR="00D95194" w:rsidRDefault="00D95194">
            <w:pPr>
              <w:rPr>
                <w:b/>
                <w:bCs/>
              </w:rPr>
            </w:pPr>
            <w:r>
              <w:rPr>
                <w:b/>
                <w:bCs/>
              </w:rPr>
              <w:lastRenderedPageBreak/>
              <w:t xml:space="preserve">APP Programme </w:t>
            </w:r>
          </w:p>
        </w:tc>
        <w:tc>
          <w:tcPr>
            <w:tcW w:w="8931" w:type="dxa"/>
            <w:tcBorders>
              <w:top w:val="nil"/>
              <w:left w:val="nil"/>
              <w:bottom w:val="single" w:sz="8" w:space="0" w:color="auto"/>
              <w:right w:val="single" w:sz="8" w:space="0" w:color="auto"/>
            </w:tcBorders>
            <w:tcMar>
              <w:top w:w="0" w:type="dxa"/>
              <w:left w:w="108" w:type="dxa"/>
              <w:bottom w:w="0" w:type="dxa"/>
              <w:right w:w="108" w:type="dxa"/>
            </w:tcMar>
            <w:hideMark/>
          </w:tcPr>
          <w:p w14:paraId="7C84FB85" w14:textId="77777777" w:rsidR="00D95194" w:rsidRDefault="00D95194">
            <w:r>
              <w:t xml:space="preserve">Continued focus on study skills for successful transition to level 3. Students can sign up via CCO for </w:t>
            </w:r>
            <w:proofErr w:type="spellStart"/>
            <w:r>
              <w:t>Springpod</w:t>
            </w:r>
            <w:proofErr w:type="spellEnd"/>
            <w:r>
              <w:t xml:space="preserve"> virtual work experiences and other virtual opportunities and/ or employability sessions in college. </w:t>
            </w:r>
          </w:p>
        </w:tc>
      </w:tr>
      <w:tr w:rsidR="00D95194" w14:paraId="16F67BDB" w14:textId="77777777" w:rsidTr="009123A8">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EB7FF" w14:textId="77777777" w:rsidR="00D95194" w:rsidRDefault="00D95194">
            <w:pPr>
              <w:rPr>
                <w:b/>
                <w:bCs/>
              </w:rPr>
            </w:pPr>
            <w:r>
              <w:rPr>
                <w:b/>
                <w:bCs/>
              </w:rPr>
              <w:t>Level 2 Transition to T-levels</w:t>
            </w:r>
          </w:p>
        </w:tc>
        <w:tc>
          <w:tcPr>
            <w:tcW w:w="8931" w:type="dxa"/>
            <w:tcBorders>
              <w:top w:val="nil"/>
              <w:left w:val="nil"/>
              <w:bottom w:val="single" w:sz="8" w:space="0" w:color="auto"/>
              <w:right w:val="single" w:sz="8" w:space="0" w:color="auto"/>
            </w:tcBorders>
            <w:tcMar>
              <w:top w:w="0" w:type="dxa"/>
              <w:left w:w="108" w:type="dxa"/>
              <w:bottom w:w="0" w:type="dxa"/>
              <w:right w:w="108" w:type="dxa"/>
            </w:tcMar>
            <w:hideMark/>
          </w:tcPr>
          <w:p w14:paraId="110564BE" w14:textId="06687001" w:rsidR="00D95194" w:rsidRDefault="00D95194">
            <w:r>
              <w:t xml:space="preserve">Work experience is included in </w:t>
            </w:r>
            <w:r w:rsidR="001C0D6E">
              <w:t xml:space="preserve">the </w:t>
            </w:r>
            <w:r>
              <w:t xml:space="preserve">programme Continued focus on study skills for successful transition to level 3. Students can sign up for </w:t>
            </w:r>
            <w:proofErr w:type="spellStart"/>
            <w:r>
              <w:t>Springpod</w:t>
            </w:r>
            <w:proofErr w:type="spellEnd"/>
            <w:r>
              <w:t xml:space="preserve"> virtual work experiences and other virtual opportunities and/ or employability sessions in college. Guidance from course teams about work experience requirements of the course are on-going. If </w:t>
            </w:r>
            <w:r w:rsidR="001C0D6E">
              <w:t>they</w:t>
            </w:r>
            <w:r>
              <w:t xml:space="preserve"> progress to T-levels, </w:t>
            </w:r>
            <w:r w:rsidR="001C0D6E">
              <w:t>they</w:t>
            </w:r>
            <w:r>
              <w:t xml:space="preserve"> will get significant work experience next year.</w:t>
            </w:r>
          </w:p>
        </w:tc>
      </w:tr>
    </w:tbl>
    <w:p w14:paraId="54C1813A" w14:textId="77777777" w:rsidR="004C04AF" w:rsidRDefault="004C04AF" w:rsidP="009662DA">
      <w:pPr>
        <w:spacing w:before="160"/>
        <w:rPr>
          <w:b/>
        </w:rPr>
      </w:pPr>
      <w:r>
        <w:rPr>
          <w:b/>
        </w:rPr>
        <w:t>Parents support</w:t>
      </w:r>
    </w:p>
    <w:p w14:paraId="1E8761C5" w14:textId="38DC7E11" w:rsidR="004C04AF" w:rsidRPr="00891487" w:rsidRDefault="004C04AF" w:rsidP="004C04AF">
      <w:r>
        <w:t>Information and guidance for parents is provided all through the learners</w:t>
      </w:r>
      <w:r w:rsidR="00CF3EA4">
        <w:t>’</w:t>
      </w:r>
      <w:r>
        <w:t xml:space="preserve"> journey. </w:t>
      </w:r>
      <w:r w:rsidR="00CF3EA4">
        <w:t xml:space="preserve">Labour market information relating to potential careers is published on the website and in the prospectus. Details of the pastoral and careers support is given at </w:t>
      </w:r>
      <w:r>
        <w:t xml:space="preserve">new </w:t>
      </w:r>
      <w:r w:rsidR="00CF3EA4">
        <w:t>parents’</w:t>
      </w:r>
      <w:r>
        <w:t xml:space="preserve"> evenings,</w:t>
      </w:r>
      <w:r w:rsidR="00CF3EA4">
        <w:t xml:space="preserve"> the HE </w:t>
      </w:r>
      <w:r w:rsidR="00A6454E">
        <w:t>and Employers Convention</w:t>
      </w:r>
      <w:r w:rsidR="00CF3EA4">
        <w:t xml:space="preserve"> and A</w:t>
      </w:r>
      <w:r>
        <w:t xml:space="preserve">pprenticeship </w:t>
      </w:r>
      <w:r w:rsidR="00CF3EA4">
        <w:t xml:space="preserve">Fair is open to parents as well as young people. The College offers a series of </w:t>
      </w:r>
      <w:r>
        <w:t>info</w:t>
      </w:r>
      <w:r w:rsidR="00CF3EA4">
        <w:t xml:space="preserve">rmation </w:t>
      </w:r>
      <w:r>
        <w:t>evenings</w:t>
      </w:r>
      <w:r w:rsidR="00CF3EA4">
        <w:t xml:space="preserve"> for parents covering UCAS, Student Finance and Apprenticeships. Parents </w:t>
      </w:r>
      <w:r w:rsidR="009123A8">
        <w:t>can</w:t>
      </w:r>
      <w:r w:rsidR="00CF3EA4">
        <w:t xml:space="preserve"> liaise directly with their young person’s tutor and progression tutor.</w:t>
      </w:r>
      <w:r>
        <w:t xml:space="preserve"> </w:t>
      </w:r>
      <w:r w:rsidR="00FC067B">
        <w:t>Parent Zone provides information about their young person’s progress, details of the services available and, through the weekly Update newsletter, they are made aware of opportunities and are reminded about key dates.</w:t>
      </w:r>
    </w:p>
    <w:p w14:paraId="4ABE71EC" w14:textId="77777777" w:rsidR="00431883" w:rsidRPr="004C04AF" w:rsidRDefault="00431883" w:rsidP="00EA7A30">
      <w:pPr>
        <w:rPr>
          <w:b/>
        </w:rPr>
      </w:pPr>
      <w:r w:rsidRPr="004C04AF">
        <w:rPr>
          <w:b/>
        </w:rPr>
        <w:t>Leavers support</w:t>
      </w:r>
    </w:p>
    <w:p w14:paraId="07253CC9" w14:textId="2364310A" w:rsidR="00431883" w:rsidRDefault="00431883" w:rsidP="004C04AF">
      <w:r>
        <w:t xml:space="preserve">Post exam results, leavers are supported into university, through clearing if necessary, or the workplace as appropriate. </w:t>
      </w:r>
      <w:r w:rsidR="00F80B40" w:rsidRPr="00891487">
        <w:t xml:space="preserve">Destinations </w:t>
      </w:r>
      <w:r>
        <w:t xml:space="preserve">are </w:t>
      </w:r>
      <w:r w:rsidR="00F80B40" w:rsidRPr="00891487">
        <w:t>track</w:t>
      </w:r>
      <w:r>
        <w:t xml:space="preserve">ed </w:t>
      </w:r>
      <w:r w:rsidR="004C04AF">
        <w:t xml:space="preserve">and reported, </w:t>
      </w:r>
      <w:r w:rsidR="00F80B40" w:rsidRPr="00891487">
        <w:t xml:space="preserve">and leavers </w:t>
      </w:r>
      <w:r>
        <w:t xml:space="preserve">are offered </w:t>
      </w:r>
      <w:r w:rsidR="00F80B40" w:rsidRPr="00891487">
        <w:t>support</w:t>
      </w:r>
      <w:r>
        <w:t xml:space="preserve"> where needed.</w:t>
      </w:r>
      <w:r w:rsidR="00255FAB" w:rsidRPr="00891487">
        <w:t xml:space="preserve"> </w:t>
      </w:r>
      <w:r w:rsidR="004C04AF">
        <w:t xml:space="preserve">For those learners taking a gap year, the College supports their later application to </w:t>
      </w:r>
      <w:r w:rsidR="00FC067B">
        <w:t>u</w:t>
      </w:r>
      <w:r w:rsidR="004C04AF">
        <w:t>niversity or into an apprenticeship.</w:t>
      </w:r>
    </w:p>
    <w:p w14:paraId="3A999A86" w14:textId="77777777" w:rsidR="00431883" w:rsidRPr="004C04AF" w:rsidRDefault="00431883" w:rsidP="00431883">
      <w:pPr>
        <w:rPr>
          <w:b/>
        </w:rPr>
      </w:pPr>
      <w:r w:rsidRPr="004C04AF">
        <w:rPr>
          <w:b/>
        </w:rPr>
        <w:t>Success measures</w:t>
      </w:r>
    </w:p>
    <w:p w14:paraId="31C9E6AA" w14:textId="5FB445A3" w:rsidR="00431883" w:rsidRDefault="00431883" w:rsidP="004C04AF">
      <w:r>
        <w:t>S</w:t>
      </w:r>
      <w:r w:rsidR="00255FAB" w:rsidRPr="00891487">
        <w:t xml:space="preserve">uccess </w:t>
      </w:r>
      <w:r>
        <w:t xml:space="preserve">will be </w:t>
      </w:r>
      <w:r w:rsidR="00255FAB" w:rsidRPr="00891487">
        <w:t>reflected in high numbers of learners progressing to positive destinations</w:t>
      </w:r>
      <w:r w:rsidR="004C04AF">
        <w:t>. This is reported in the destinations report and will be highlighted in publicity material for each course in the prospectus and on the website.</w:t>
      </w:r>
      <w:r w:rsidR="005C5F93">
        <w:t xml:space="preserve"> Success will also be demonstrated through HESA data which demonstrates the resilience, drive, and independent learning skills our learners acquire with us.</w:t>
      </w:r>
    </w:p>
    <w:p w14:paraId="29A2D563" w14:textId="6F9D7E4C" w:rsidR="00207431" w:rsidRDefault="00207431" w:rsidP="00431883">
      <w:pPr>
        <w:rPr>
          <w:b/>
        </w:rPr>
      </w:pPr>
      <w:r w:rsidRPr="00207431">
        <w:rPr>
          <w:b/>
        </w:rPr>
        <w:t xml:space="preserve">The College’s </w:t>
      </w:r>
      <w:r w:rsidR="00634E71">
        <w:rPr>
          <w:b/>
        </w:rPr>
        <w:t>c</w:t>
      </w:r>
      <w:r w:rsidRPr="00207431">
        <w:rPr>
          <w:b/>
        </w:rPr>
        <w:t>ommitment</w:t>
      </w:r>
      <w:r>
        <w:rPr>
          <w:b/>
        </w:rPr>
        <w:t xml:space="preserve"> </w:t>
      </w:r>
    </w:p>
    <w:p w14:paraId="1B620CAB" w14:textId="7B56CE84" w:rsidR="00554C27" w:rsidRDefault="00431883">
      <w:r>
        <w:lastRenderedPageBreak/>
        <w:t>Cirencester College’</w:t>
      </w:r>
      <w:r w:rsidR="00207431">
        <w:t>s Careers and Personal Development S</w:t>
      </w:r>
      <w:r>
        <w:t xml:space="preserve">trategy is owned by the </w:t>
      </w:r>
      <w:r w:rsidR="00207431">
        <w:t xml:space="preserve">Vice Principal Student Experience and External Relations, it is approved by </w:t>
      </w:r>
      <w:r>
        <w:t xml:space="preserve">Senior Leadership and is delivered by a strong Pastoral team which includes </w:t>
      </w:r>
      <w:r w:rsidR="00844E35">
        <w:t xml:space="preserve">four </w:t>
      </w:r>
      <w:r>
        <w:t>QCG level 6 qualified careers professionals</w:t>
      </w:r>
      <w:r w:rsidR="004C04AF">
        <w:t>.</w:t>
      </w:r>
    </w:p>
    <w:p w14:paraId="5F57D243" w14:textId="77777777" w:rsidR="00834028" w:rsidRPr="00A673D4" w:rsidRDefault="00834028" w:rsidP="00834028">
      <w:pPr>
        <w:rPr>
          <w:b/>
          <w:bCs/>
        </w:rPr>
      </w:pPr>
      <w:r w:rsidRPr="00A673D4">
        <w:rPr>
          <w:b/>
          <w:bCs/>
        </w:rPr>
        <w:t xml:space="preserve">The Baker Clause </w:t>
      </w:r>
    </w:p>
    <w:p w14:paraId="472A3E37" w14:textId="77777777" w:rsidR="00834028" w:rsidRDefault="00834028" w:rsidP="00834028">
      <w:r w:rsidRPr="00A673D4">
        <w:t xml:space="preserve">This document sets out the college’s arrangements for managing the access of providers to students at the school for the purpose of giving them information about the provider’s education or training offer. This complies with the school’s legal obligations under Section 42B of the Education Act 1997. </w:t>
      </w:r>
    </w:p>
    <w:p w14:paraId="3AA190B5" w14:textId="77777777" w:rsidR="00834028" w:rsidRPr="00A673D4" w:rsidRDefault="00834028" w:rsidP="00834028">
      <w:pPr>
        <w:rPr>
          <w:b/>
          <w:bCs/>
        </w:rPr>
      </w:pPr>
      <w:r w:rsidRPr="00A673D4">
        <w:rPr>
          <w:b/>
          <w:bCs/>
        </w:rPr>
        <w:t xml:space="preserve">Student entitlement </w:t>
      </w:r>
    </w:p>
    <w:p w14:paraId="63394997" w14:textId="77777777" w:rsidR="00834028" w:rsidRDefault="00834028" w:rsidP="00834028">
      <w:r w:rsidRPr="00A673D4">
        <w:t xml:space="preserve">All Students are entitled: </w:t>
      </w:r>
    </w:p>
    <w:p w14:paraId="27C91DE4" w14:textId="0A4B4E1A" w:rsidR="00834028" w:rsidRDefault="009123A8" w:rsidP="00834028">
      <w:pPr>
        <w:pStyle w:val="ListParagraph"/>
        <w:numPr>
          <w:ilvl w:val="0"/>
          <w:numId w:val="3"/>
        </w:numPr>
        <w:spacing w:line="278" w:lineRule="auto"/>
      </w:pPr>
      <w:r>
        <w:t>t</w:t>
      </w:r>
      <w:r w:rsidR="00834028" w:rsidRPr="00A673D4">
        <w:t xml:space="preserve">o find out about technical education qualifications and apprenticeships opportunities, as part of a careers programme which provides information on the full range of education and training options available at each transition </w:t>
      </w:r>
      <w:r w:rsidRPr="00A673D4">
        <w:t>point</w:t>
      </w:r>
      <w:r>
        <w:t>;</w:t>
      </w:r>
      <w:r w:rsidR="00834028" w:rsidRPr="00A673D4">
        <w:t xml:space="preserve"> </w:t>
      </w:r>
    </w:p>
    <w:p w14:paraId="698C8D37" w14:textId="465B26F5" w:rsidR="00834028" w:rsidRDefault="009123A8" w:rsidP="00834028">
      <w:pPr>
        <w:pStyle w:val="ListParagraph"/>
        <w:numPr>
          <w:ilvl w:val="0"/>
          <w:numId w:val="3"/>
        </w:numPr>
        <w:spacing w:line="278" w:lineRule="auto"/>
      </w:pPr>
      <w:r>
        <w:t>t</w:t>
      </w:r>
      <w:r w:rsidR="00834028" w:rsidRPr="00A673D4">
        <w:t>o hear from a range of local providers about the opportunities they offer, including technical education and apprenticeships – through curriculum learning, at the HE and Employer Convention and any other appropriate points in the student journey</w:t>
      </w:r>
      <w:r w:rsidR="00834028">
        <w:t xml:space="preserve">; </w:t>
      </w:r>
    </w:p>
    <w:p w14:paraId="50126B91" w14:textId="3BC583C7" w:rsidR="00834028" w:rsidRDefault="009123A8" w:rsidP="00834028">
      <w:pPr>
        <w:pStyle w:val="ListParagraph"/>
        <w:numPr>
          <w:ilvl w:val="0"/>
          <w:numId w:val="3"/>
        </w:numPr>
        <w:spacing w:line="278" w:lineRule="auto"/>
      </w:pPr>
      <w:r>
        <w:t>t</w:t>
      </w:r>
      <w:r w:rsidR="00834028" w:rsidRPr="00A673D4">
        <w:t>o understand how to make applications for the full range of academic and technical courses.</w:t>
      </w:r>
    </w:p>
    <w:p w14:paraId="68C0B6B9" w14:textId="77777777" w:rsidR="00834028" w:rsidRPr="00A673D4" w:rsidRDefault="00834028" w:rsidP="00834028">
      <w:pPr>
        <w:rPr>
          <w:b/>
          <w:bCs/>
        </w:rPr>
      </w:pPr>
      <w:r w:rsidRPr="00A673D4">
        <w:rPr>
          <w:b/>
          <w:bCs/>
        </w:rPr>
        <w:t xml:space="preserve">Management of provider access requests </w:t>
      </w:r>
    </w:p>
    <w:p w14:paraId="442EB83D" w14:textId="77777777" w:rsidR="00834028" w:rsidRPr="00A673D4" w:rsidRDefault="00834028" w:rsidP="00834028">
      <w:pPr>
        <w:rPr>
          <w:b/>
          <w:bCs/>
        </w:rPr>
      </w:pPr>
      <w:r w:rsidRPr="00A673D4">
        <w:rPr>
          <w:b/>
          <w:bCs/>
        </w:rPr>
        <w:t xml:space="preserve">Procedure </w:t>
      </w:r>
    </w:p>
    <w:p w14:paraId="4F5EDE9E" w14:textId="3436E6B9" w:rsidR="00834028" w:rsidRDefault="00834028" w:rsidP="00834028">
      <w:r w:rsidRPr="002A35C8">
        <w:t>A provider wishing to request access should contact Kirsten Murphy Careers Advisor or Imogen Mordak</w:t>
      </w:r>
      <w:r w:rsidR="00223A53">
        <w:t>,</w:t>
      </w:r>
      <w:r w:rsidRPr="002A35C8">
        <w:t xml:space="preserve"> Careers Lead </w:t>
      </w:r>
      <w:r w:rsidR="00223A53">
        <w:t>by e</w:t>
      </w:r>
      <w:r w:rsidRPr="002A35C8">
        <w:t>mail</w:t>
      </w:r>
      <w:r w:rsidR="00223A53">
        <w:t>ing</w:t>
      </w:r>
      <w:r w:rsidRPr="002A35C8">
        <w:t xml:space="preserve"> </w:t>
      </w:r>
      <w:hyperlink r:id="rId9" w:history="1">
        <w:r w:rsidRPr="002A35C8">
          <w:rPr>
            <w:rStyle w:val="Hyperlink"/>
          </w:rPr>
          <w:t>careers@cirencester.ac.uk</w:t>
        </w:r>
      </w:hyperlink>
      <w:r w:rsidRPr="00A673D4">
        <w:t xml:space="preserve"> </w:t>
      </w:r>
    </w:p>
    <w:p w14:paraId="058F20CE" w14:textId="77777777" w:rsidR="00834028" w:rsidRPr="00A673D4" w:rsidRDefault="00834028" w:rsidP="00834028">
      <w:pPr>
        <w:rPr>
          <w:b/>
          <w:bCs/>
        </w:rPr>
      </w:pPr>
      <w:r w:rsidRPr="00A673D4">
        <w:rPr>
          <w:b/>
          <w:bCs/>
        </w:rPr>
        <w:t>Opportunities for access</w:t>
      </w:r>
    </w:p>
    <w:p w14:paraId="577F70EB" w14:textId="6E5205F4" w:rsidR="00834028" w:rsidRDefault="00834028" w:rsidP="00834028">
      <w:r w:rsidRPr="00A673D4">
        <w:t xml:space="preserve">The college offers a comprehensive Careers and Personal Development program. </w:t>
      </w:r>
      <w:r w:rsidR="00C6730F">
        <w:t>P</w:t>
      </w:r>
      <w:r w:rsidRPr="00A673D4">
        <w:t xml:space="preserve">lease speak to our Careers Advisor to identify the most suitable opportunity for you to engage with us. </w:t>
      </w:r>
      <w:r w:rsidR="00C6730F" w:rsidRPr="00A673D4">
        <w:t>Providers are welcome to leave a copy of their prospectus or other relevant course literature with the Careers Advisor so that they can be displayed in the most appropriate plac</w:t>
      </w:r>
      <w:r w:rsidR="00C6730F">
        <w:t>e.</w:t>
      </w:r>
    </w:p>
    <w:p w14:paraId="73935AF7" w14:textId="718C27B5" w:rsidR="00D962D1" w:rsidRDefault="00D962D1">
      <w:r>
        <w:rPr>
          <w:noProof/>
        </w:rPr>
        <w:lastRenderedPageBreak/>
        <w:drawing>
          <wp:anchor distT="0" distB="0" distL="114300" distR="114300" simplePos="0" relativeHeight="251670528" behindDoc="0" locked="0" layoutInCell="1" allowOverlap="1" wp14:anchorId="5F408518" wp14:editId="4CE79E3E">
            <wp:simplePos x="0" y="0"/>
            <wp:positionH relativeFrom="margin">
              <wp:align>right</wp:align>
            </wp:positionH>
            <wp:positionV relativeFrom="paragraph">
              <wp:posOffset>3810</wp:posOffset>
            </wp:positionV>
            <wp:extent cx="1181408" cy="1104900"/>
            <wp:effectExtent l="0" t="0" r="0" b="0"/>
            <wp:wrapNone/>
            <wp:docPr id="13933384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8453" name="Picture 13933384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408" cy="11049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79FCDCB" wp14:editId="0654B733">
                <wp:simplePos x="0" y="0"/>
                <wp:positionH relativeFrom="column">
                  <wp:posOffset>-85725</wp:posOffset>
                </wp:positionH>
                <wp:positionV relativeFrom="paragraph">
                  <wp:posOffset>685800</wp:posOffset>
                </wp:positionV>
                <wp:extent cx="9010650" cy="4919345"/>
                <wp:effectExtent l="0" t="0" r="0" b="0"/>
                <wp:wrapSquare wrapText="bothSides"/>
                <wp:docPr id="70" name="Text Box 5"/>
                <wp:cNvGraphicFramePr/>
                <a:graphic xmlns:a="http://schemas.openxmlformats.org/drawingml/2006/main">
                  <a:graphicData uri="http://schemas.microsoft.com/office/word/2010/wordprocessingShape">
                    <wps:wsp>
                      <wps:cNvSpPr txBox="1"/>
                      <wps:spPr>
                        <a:xfrm>
                          <a:off x="0" y="0"/>
                          <a:ext cx="9010650" cy="4919345"/>
                        </a:xfrm>
                        <a:prstGeom prst="rect">
                          <a:avLst/>
                        </a:prstGeom>
                        <a:solidFill>
                          <a:schemeClr val="lt1"/>
                        </a:solidFill>
                        <a:ln w="6350">
                          <a:noFill/>
                        </a:ln>
                      </wps:spPr>
                      <wps:txbx>
                        <w:txbxContent>
                          <w:p w14:paraId="4D381F56" w14:textId="16E443B4" w:rsidR="00887A0A" w:rsidRDefault="00887A0A">
                            <w:r w:rsidRPr="00887A0A">
                              <w:rPr>
                                <w:noProof/>
                                <w:lang w:eastAsia="en-GB"/>
                              </w:rPr>
                              <w:drawing>
                                <wp:inline distT="0" distB="0" distL="0" distR="0" wp14:anchorId="0BAE13F7" wp14:editId="1A6EF1D1">
                                  <wp:extent cx="8710930" cy="4693920"/>
                                  <wp:effectExtent l="0" t="0" r="0" b="0"/>
                                  <wp:docPr id="1624059439" name="Picture 162405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0022" cy="4698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9FCDCB" id="_x0000_t202" coordsize="21600,21600" o:spt="202" path="m,l,21600r21600,l21600,xe">
                <v:stroke joinstyle="miter"/>
                <v:path gradientshapeok="t" o:connecttype="rect"/>
              </v:shapetype>
              <v:shape id="Text Box 5" o:spid="_x0000_s1026" type="#_x0000_t202" style="position:absolute;margin-left:-6.75pt;margin-top:54pt;width:709.5pt;height:38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" fillcolor="white [3201]" stroked="f" strokeweight=".5pt">
                <v:textbox>
                  <w:txbxContent>
                    <w:p w14:paraId="4D381F56" w14:textId="16E443B4" w:rsidR="00887A0A" w:rsidRDefault="00887A0A">
                      <w:r w:rsidRPr="00887A0A">
                        <w:rPr>
                          <w:noProof/>
                          <w:lang w:eastAsia="en-GB"/>
                        </w:rPr>
                        <w:drawing>
                          <wp:inline distT="0" distB="0" distL="0" distR="0" wp14:anchorId="0BAE13F7" wp14:editId="1A6EF1D1">
                            <wp:extent cx="8710930" cy="4693920"/>
                            <wp:effectExtent l="0" t="0" r="0" b="0"/>
                            <wp:docPr id="1624059439" name="Picture 162405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0022" cy="4698819"/>
                                    </a:xfrm>
                                    <a:prstGeom prst="rect">
                                      <a:avLst/>
                                    </a:prstGeom>
                                    <a:noFill/>
                                    <a:ln>
                                      <a:noFill/>
                                    </a:ln>
                                  </pic:spPr>
                                </pic:pic>
                              </a:graphicData>
                            </a:graphic>
                          </wp:inline>
                        </w:drawing>
                      </w:r>
                    </w:p>
                  </w:txbxContent>
                </v:textbox>
                <w10:wrap type="square"/>
              </v:shape>
            </w:pict>
          </mc:Fallback>
        </mc:AlternateContent>
      </w:r>
    </w:p>
    <w:p w14:paraId="6A1F1A89" w14:textId="17F0A53C" w:rsidR="00887A0A" w:rsidRPr="00B26908" w:rsidRDefault="003174D2">
      <w:pPr>
        <w:rPr>
          <w:sz w:val="18"/>
          <w:szCs w:val="18"/>
        </w:rPr>
      </w:pPr>
      <w:r>
        <w:rPr>
          <w:noProof/>
          <w:lang w:eastAsia="en-GB"/>
        </w:rPr>
        <w:lastRenderedPageBreak/>
        <mc:AlternateContent>
          <mc:Choice Requires="wpg">
            <w:drawing>
              <wp:anchor distT="0" distB="0" distL="114300" distR="114300" simplePos="0" relativeHeight="251669504" behindDoc="0" locked="0" layoutInCell="1" allowOverlap="1" wp14:anchorId="044596F4" wp14:editId="66DF5833">
                <wp:simplePos x="0" y="0"/>
                <wp:positionH relativeFrom="column">
                  <wp:posOffset>3409951</wp:posOffset>
                </wp:positionH>
                <wp:positionV relativeFrom="paragraph">
                  <wp:posOffset>2057401</wp:posOffset>
                </wp:positionV>
                <wp:extent cx="1295400" cy="638174"/>
                <wp:effectExtent l="0" t="0" r="19050" b="10160"/>
                <wp:wrapNone/>
                <wp:docPr id="1945325780" name="Group 3"/>
                <wp:cNvGraphicFramePr/>
                <a:graphic xmlns:a="http://schemas.openxmlformats.org/drawingml/2006/main">
                  <a:graphicData uri="http://schemas.microsoft.com/office/word/2010/wordprocessingGroup">
                    <wpg:wgp>
                      <wpg:cNvGrpSpPr/>
                      <wpg:grpSpPr>
                        <a:xfrm>
                          <a:off x="0" y="0"/>
                          <a:ext cx="1295400" cy="638174"/>
                          <a:chOff x="0" y="0"/>
                          <a:chExt cx="1219200" cy="571500"/>
                        </a:xfrm>
                      </wpg:grpSpPr>
                      <wps:wsp>
                        <wps:cNvPr id="1768149993" name="Oval 1"/>
                        <wps:cNvSpPr/>
                        <wps:spPr>
                          <a:xfrm>
                            <a:off x="0" y="0"/>
                            <a:ext cx="1219200" cy="571500"/>
                          </a:xfrm>
                          <a:prstGeom prst="ellips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540721" name="Text Box 2"/>
                        <wps:cNvSpPr txBox="1"/>
                        <wps:spPr>
                          <a:xfrm>
                            <a:off x="320835" y="116446"/>
                            <a:ext cx="628650" cy="422856"/>
                          </a:xfrm>
                          <a:prstGeom prst="rect">
                            <a:avLst/>
                          </a:prstGeom>
                          <a:noFill/>
                          <a:ln w="6350">
                            <a:noFill/>
                          </a:ln>
                        </wps:spPr>
                        <wps:txbx>
                          <w:txbxContent>
                            <w:p w14:paraId="34C84470" w14:textId="5AAA4258" w:rsidR="00D962D1" w:rsidRPr="00D962D1" w:rsidRDefault="00D962D1">
                              <w:pPr>
                                <w:rPr>
                                  <w:b/>
                                  <w:bCs/>
                                  <w:color w:val="FFFFFF" w:themeColor="background1"/>
                                  <w:sz w:val="40"/>
                                  <w:szCs w:val="40"/>
                                </w:rPr>
                              </w:pPr>
                              <w:r w:rsidRPr="00D962D1">
                                <w:rPr>
                                  <w:b/>
                                  <w:bCs/>
                                  <w:color w:val="FFFFFF" w:themeColor="background1"/>
                                  <w:sz w:val="40"/>
                                  <w:szCs w:val="40"/>
                                </w:rPr>
                                <w:t>PDP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4596F4" id="Group 3" o:spid="_x0000_s1027" style="position:absolute;margin-left:268.5pt;margin-top:162pt;width:102pt;height:50.25pt;z-index:251669504;mso-width-relative:margin;mso-height-relative:margin" coordsize="1219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">
                <v:oval id="Oval 1" o:spid="_x0000_s1028" style="position:absolute;width:1219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" fillcolor="#c00000" strokecolor="#091723 [484]" strokeweight="1pt">
                  <v:stroke joinstyle="miter"/>
                </v:oval>
                <v:shape id="Text Box 2" o:spid="_x0000_s1029" type="#_x0000_t202" style="position:absolute;left:3208;top:1164;width:6286;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" filled="f" stroked="f" strokeweight=".5pt">
                  <v:textbox>
                    <w:txbxContent>
                      <w:p w14:paraId="34C84470" w14:textId="5AAA4258" w:rsidR="00D962D1" w:rsidRPr="00D962D1" w:rsidRDefault="00D962D1">
                        <w:pPr>
                          <w:rPr>
                            <w:b/>
                            <w:bCs/>
                            <w:color w:val="FFFFFF" w:themeColor="background1"/>
                            <w:sz w:val="40"/>
                            <w:szCs w:val="40"/>
                          </w:rPr>
                        </w:pPr>
                        <w:r w:rsidRPr="00D962D1">
                          <w:rPr>
                            <w:b/>
                            <w:bCs/>
                            <w:color w:val="FFFFFF" w:themeColor="background1"/>
                            <w:sz w:val="40"/>
                            <w:szCs w:val="40"/>
                          </w:rPr>
                          <w:t>PDP</w:t>
                        </w:r>
                      </w:p>
                    </w:txbxContent>
                  </v:textbox>
                </v:shape>
              </v:group>
            </w:pict>
          </mc:Fallback>
        </mc:AlternateContent>
      </w:r>
      <w:r>
        <w:rPr>
          <w:noProof/>
        </w:rPr>
        <mc:AlternateContent>
          <mc:Choice Requires="wps">
            <w:drawing>
              <wp:anchor distT="0" distB="0" distL="114300" distR="114300" simplePos="0" relativeHeight="251665408" behindDoc="0" locked="0" layoutInCell="1" allowOverlap="1" wp14:anchorId="7186E4CB" wp14:editId="52F405CE">
                <wp:simplePos x="0" y="0"/>
                <wp:positionH relativeFrom="margin">
                  <wp:align>left</wp:align>
                </wp:positionH>
                <wp:positionV relativeFrom="paragraph">
                  <wp:posOffset>0</wp:posOffset>
                </wp:positionV>
                <wp:extent cx="8877300" cy="4886325"/>
                <wp:effectExtent l="0" t="0" r="0" b="9525"/>
                <wp:wrapSquare wrapText="bothSides"/>
                <wp:docPr id="73" name="Text Box 8"/>
                <wp:cNvGraphicFramePr/>
                <a:graphic xmlns:a="http://schemas.openxmlformats.org/drawingml/2006/main">
                  <a:graphicData uri="http://schemas.microsoft.com/office/word/2010/wordprocessingShape">
                    <wps:wsp>
                      <wps:cNvSpPr txBox="1"/>
                      <wps:spPr>
                        <a:xfrm>
                          <a:off x="0" y="0"/>
                          <a:ext cx="8877300" cy="4886325"/>
                        </a:xfrm>
                        <a:prstGeom prst="rect">
                          <a:avLst/>
                        </a:prstGeom>
                        <a:solidFill>
                          <a:schemeClr val="lt1"/>
                        </a:solidFill>
                        <a:ln w="6350">
                          <a:noFill/>
                        </a:ln>
                      </wps:spPr>
                      <wps:txbx>
                        <w:txbxContent>
                          <w:p w14:paraId="74B8EAD3" w14:textId="77777777" w:rsidR="00887A0A" w:rsidRDefault="00502D1B">
                            <w:r w:rsidRPr="00502D1B">
                              <w:rPr>
                                <w:noProof/>
                                <w:lang w:eastAsia="en-GB"/>
                              </w:rPr>
                              <w:drawing>
                                <wp:inline distT="0" distB="0" distL="0" distR="0" wp14:anchorId="39025470" wp14:editId="34BEEDB0">
                                  <wp:extent cx="8460000" cy="4359600"/>
                                  <wp:effectExtent l="0" t="0" r="0" b="3175"/>
                                  <wp:docPr id="1957829095" name="Picture 195782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0000" cy="435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E4CB" id="Text Box 8" o:spid="_x0000_s1030" type="#_x0000_t202" style="position:absolute;margin-left:0;margin-top:0;width:699pt;height:38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" fillcolor="white [3201]" stroked="f" strokeweight=".5pt">
                <v:textbox>
                  <w:txbxContent>
                    <w:p w14:paraId="74B8EAD3" w14:textId="77777777" w:rsidR="00887A0A" w:rsidRDefault="00502D1B">
                      <w:r w:rsidRPr="00502D1B">
                        <w:rPr>
                          <w:noProof/>
                          <w:lang w:eastAsia="en-GB"/>
                        </w:rPr>
                        <w:drawing>
                          <wp:inline distT="0" distB="0" distL="0" distR="0" wp14:anchorId="39025470" wp14:editId="34BEEDB0">
                            <wp:extent cx="8460000" cy="4359600"/>
                            <wp:effectExtent l="0" t="0" r="0" b="3175"/>
                            <wp:docPr id="1957829095" name="Picture 195782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0000" cy="4359600"/>
                                    </a:xfrm>
                                    <a:prstGeom prst="rect">
                                      <a:avLst/>
                                    </a:prstGeom>
                                    <a:noFill/>
                                    <a:ln>
                                      <a:noFill/>
                                    </a:ln>
                                  </pic:spPr>
                                </pic:pic>
                              </a:graphicData>
                            </a:graphic>
                          </wp:inline>
                        </w:drawing>
                      </w:r>
                    </w:p>
                  </w:txbxContent>
                </v:textbox>
                <w10:wrap type="square" anchorx="margin"/>
              </v:shape>
            </w:pict>
          </mc:Fallback>
        </mc:AlternateContent>
      </w:r>
      <w:r w:rsidR="00D962D1">
        <w:rPr>
          <w:noProof/>
        </w:rPr>
        <w:drawing>
          <wp:anchor distT="0" distB="0" distL="114300" distR="114300" simplePos="0" relativeHeight="251672576" behindDoc="0" locked="0" layoutInCell="1" allowOverlap="1" wp14:anchorId="6B02CAA5" wp14:editId="6E8DDB5A">
            <wp:simplePos x="0" y="0"/>
            <wp:positionH relativeFrom="margin">
              <wp:align>right</wp:align>
            </wp:positionH>
            <wp:positionV relativeFrom="paragraph">
              <wp:posOffset>-571500</wp:posOffset>
            </wp:positionV>
            <wp:extent cx="1181100" cy="1104900"/>
            <wp:effectExtent l="0" t="0" r="0" b="0"/>
            <wp:wrapNone/>
            <wp:docPr id="14706184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8453" name="Picture 13933384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04900"/>
                    </a:xfrm>
                    <a:prstGeom prst="rect">
                      <a:avLst/>
                    </a:prstGeom>
                  </pic:spPr>
                </pic:pic>
              </a:graphicData>
            </a:graphic>
            <wp14:sizeRelH relativeFrom="margin">
              <wp14:pctWidth>0</wp14:pctWidth>
            </wp14:sizeRelH>
            <wp14:sizeRelV relativeFrom="margin">
              <wp14:pctHeight>0</wp14:pctHeight>
            </wp14:sizeRelV>
          </wp:anchor>
        </w:drawing>
      </w:r>
      <w:r w:rsidR="000D12F7">
        <w:t>*</w:t>
      </w:r>
      <w:r w:rsidR="000D12F7" w:rsidRPr="00B26908">
        <w:rPr>
          <w:sz w:val="18"/>
          <w:szCs w:val="18"/>
        </w:rPr>
        <w:t>NAW – National Apprenticeship Week</w:t>
      </w:r>
    </w:p>
    <w:sectPr w:rsidR="00887A0A" w:rsidRPr="00B26908" w:rsidSect="00BA383E">
      <w:headerReference w:type="default" r:id="rId13"/>
      <w:footerReference w:type="default" r:id="rId14"/>
      <w:headerReference w:type="first" r:id="rId15"/>
      <w:footerReference w:type="firs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1B181" w14:textId="77777777" w:rsidR="007D04CD" w:rsidRDefault="007D04CD" w:rsidP="00C972D1">
      <w:pPr>
        <w:spacing w:after="0" w:line="240" w:lineRule="auto"/>
      </w:pPr>
      <w:r>
        <w:separator/>
      </w:r>
    </w:p>
  </w:endnote>
  <w:endnote w:type="continuationSeparator" w:id="0">
    <w:p w14:paraId="00934436" w14:textId="77777777" w:rsidR="007D04CD" w:rsidRDefault="007D04CD" w:rsidP="00C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443723"/>
      <w:docPartObj>
        <w:docPartGallery w:val="Page Numbers (Bottom of Page)"/>
        <w:docPartUnique/>
      </w:docPartObj>
    </w:sdtPr>
    <w:sdtEndPr>
      <w:rPr>
        <w:noProof/>
      </w:rPr>
    </w:sdtEndPr>
    <w:sdtContent>
      <w:p w14:paraId="6C947A7A" w14:textId="77777777" w:rsidR="00B34344" w:rsidRDefault="00B34344">
        <w:pPr>
          <w:pStyle w:val="Footer"/>
          <w:jc w:val="center"/>
        </w:pPr>
        <w:r>
          <w:fldChar w:fldCharType="begin"/>
        </w:r>
        <w:r>
          <w:instrText xml:space="preserve"> PAGE   \* MERGEFORMAT </w:instrText>
        </w:r>
        <w:r>
          <w:fldChar w:fldCharType="separate"/>
        </w:r>
        <w:r w:rsidR="00D2500D">
          <w:rPr>
            <w:noProof/>
          </w:rPr>
          <w:t>1</w:t>
        </w:r>
        <w:r>
          <w:rPr>
            <w:noProof/>
          </w:rPr>
          <w:fldChar w:fldCharType="end"/>
        </w:r>
      </w:p>
    </w:sdtContent>
  </w:sdt>
  <w:p w14:paraId="172B96C7" w14:textId="6B7E4F41" w:rsidR="00B34344" w:rsidRPr="00D96CCD" w:rsidRDefault="00D96CCD">
    <w:pPr>
      <w:pStyle w:val="Footer"/>
      <w:rPr>
        <w:color w:val="BFBFBF" w:themeColor="background1" w:themeShade="BF"/>
        <w:sz w:val="18"/>
        <w:szCs w:val="18"/>
      </w:rPr>
    </w:pPr>
    <w:r w:rsidRPr="00D96CCD">
      <w:rPr>
        <w:color w:val="BFBFBF" w:themeColor="background1" w:themeShade="BF"/>
        <w:sz w:val="18"/>
        <w:szCs w:val="18"/>
      </w:rPr>
      <w:t>Cirencester College/Karen Fraser/</w:t>
    </w:r>
    <w:r w:rsidR="00A15FAE">
      <w:rPr>
        <w:color w:val="BFBFBF" w:themeColor="background1" w:themeShade="BF"/>
        <w:sz w:val="18"/>
        <w:szCs w:val="18"/>
      </w:rPr>
      <w:t>August</w:t>
    </w:r>
    <w:r w:rsidR="00D962D1">
      <w:rPr>
        <w:color w:val="BFBFBF" w:themeColor="background1" w:themeShade="BF"/>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893434"/>
      <w:docPartObj>
        <w:docPartGallery w:val="Page Numbers (Bottom of Page)"/>
        <w:docPartUnique/>
      </w:docPartObj>
    </w:sdtPr>
    <w:sdtEndPr>
      <w:rPr>
        <w:noProof/>
      </w:rPr>
    </w:sdtEndPr>
    <w:sdtContent>
      <w:p w14:paraId="71BB9FD9" w14:textId="77777777" w:rsidR="007A0EBA" w:rsidRDefault="007A0EBA">
        <w:pPr>
          <w:pStyle w:val="Footer"/>
          <w:jc w:val="center"/>
        </w:pPr>
        <w:r>
          <w:fldChar w:fldCharType="begin"/>
        </w:r>
        <w:r>
          <w:instrText xml:space="preserve"> PAGE   \* MERGEFORMAT </w:instrText>
        </w:r>
        <w:r>
          <w:fldChar w:fldCharType="separate"/>
        </w:r>
        <w:r w:rsidR="00D96CCD">
          <w:rPr>
            <w:noProof/>
          </w:rPr>
          <w:t>4</w:t>
        </w:r>
        <w:r>
          <w:rPr>
            <w:noProof/>
          </w:rPr>
          <w:fldChar w:fldCharType="end"/>
        </w:r>
      </w:p>
    </w:sdtContent>
  </w:sdt>
  <w:p w14:paraId="45F0311B" w14:textId="77777777" w:rsidR="007A0EBA" w:rsidRDefault="007A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EB438" w14:textId="77777777" w:rsidR="007D04CD" w:rsidRDefault="007D04CD" w:rsidP="00C972D1">
      <w:pPr>
        <w:spacing w:after="0" w:line="240" w:lineRule="auto"/>
      </w:pPr>
      <w:r>
        <w:separator/>
      </w:r>
    </w:p>
  </w:footnote>
  <w:footnote w:type="continuationSeparator" w:id="0">
    <w:p w14:paraId="7949D4CE" w14:textId="77777777" w:rsidR="007D04CD" w:rsidRDefault="007D04CD" w:rsidP="00C9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37C1" w14:textId="77777777" w:rsidR="00C972D1" w:rsidRDefault="00C972D1" w:rsidP="00582B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FF6D" w14:textId="77777777" w:rsidR="00C972D1" w:rsidRDefault="00C972D1" w:rsidP="00582B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5250F"/>
    <w:multiLevelType w:val="hybridMultilevel"/>
    <w:tmpl w:val="BD920352"/>
    <w:lvl w:ilvl="0" w:tplc="36BE99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5249A6"/>
    <w:multiLevelType w:val="hybridMultilevel"/>
    <w:tmpl w:val="2B524860"/>
    <w:lvl w:ilvl="0" w:tplc="36BE99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22E41"/>
    <w:multiLevelType w:val="hybridMultilevel"/>
    <w:tmpl w:val="643E38CE"/>
    <w:lvl w:ilvl="0" w:tplc="E3864B0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899792">
    <w:abstractNumId w:val="0"/>
  </w:num>
  <w:num w:numId="2" w16cid:durableId="475609598">
    <w:abstractNumId w:val="1"/>
  </w:num>
  <w:num w:numId="3" w16cid:durableId="1773011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30"/>
    <w:rsid w:val="00010173"/>
    <w:rsid w:val="00033E80"/>
    <w:rsid w:val="00053A8C"/>
    <w:rsid w:val="00067D6B"/>
    <w:rsid w:val="000D12F7"/>
    <w:rsid w:val="000E5743"/>
    <w:rsid w:val="00122F4A"/>
    <w:rsid w:val="001338A0"/>
    <w:rsid w:val="0014550D"/>
    <w:rsid w:val="00166CD6"/>
    <w:rsid w:val="0018761A"/>
    <w:rsid w:val="001C0D6E"/>
    <w:rsid w:val="001C2201"/>
    <w:rsid w:val="00207431"/>
    <w:rsid w:val="00207605"/>
    <w:rsid w:val="00222508"/>
    <w:rsid w:val="00223A53"/>
    <w:rsid w:val="00255FAB"/>
    <w:rsid w:val="0027794D"/>
    <w:rsid w:val="002A35C8"/>
    <w:rsid w:val="002A3AEE"/>
    <w:rsid w:val="002A4380"/>
    <w:rsid w:val="002A5CAE"/>
    <w:rsid w:val="002E23B8"/>
    <w:rsid w:val="00304620"/>
    <w:rsid w:val="003174D2"/>
    <w:rsid w:val="003A5073"/>
    <w:rsid w:val="003C68A5"/>
    <w:rsid w:val="00401C64"/>
    <w:rsid w:val="00431883"/>
    <w:rsid w:val="004350A6"/>
    <w:rsid w:val="0048501C"/>
    <w:rsid w:val="00491BE1"/>
    <w:rsid w:val="004A4A79"/>
    <w:rsid w:val="004B4D3C"/>
    <w:rsid w:val="004C04AF"/>
    <w:rsid w:val="00502D1B"/>
    <w:rsid w:val="0050702A"/>
    <w:rsid w:val="00517F38"/>
    <w:rsid w:val="0052249F"/>
    <w:rsid w:val="00554C27"/>
    <w:rsid w:val="005666A7"/>
    <w:rsid w:val="00582BDF"/>
    <w:rsid w:val="005C5F93"/>
    <w:rsid w:val="00601516"/>
    <w:rsid w:val="00601B97"/>
    <w:rsid w:val="00603C88"/>
    <w:rsid w:val="00634E71"/>
    <w:rsid w:val="00641423"/>
    <w:rsid w:val="006D0D27"/>
    <w:rsid w:val="006D2896"/>
    <w:rsid w:val="00707CFE"/>
    <w:rsid w:val="00735FBB"/>
    <w:rsid w:val="007822BE"/>
    <w:rsid w:val="00784E6F"/>
    <w:rsid w:val="007A0EBA"/>
    <w:rsid w:val="007B0995"/>
    <w:rsid w:val="007D04CD"/>
    <w:rsid w:val="007D2EB1"/>
    <w:rsid w:val="00832557"/>
    <w:rsid w:val="00834028"/>
    <w:rsid w:val="00844E35"/>
    <w:rsid w:val="00887A0A"/>
    <w:rsid w:val="00891487"/>
    <w:rsid w:val="008A326E"/>
    <w:rsid w:val="008B0B8A"/>
    <w:rsid w:val="00903AA2"/>
    <w:rsid w:val="009123A8"/>
    <w:rsid w:val="009138CF"/>
    <w:rsid w:val="00916349"/>
    <w:rsid w:val="00925063"/>
    <w:rsid w:val="00937E0E"/>
    <w:rsid w:val="00947968"/>
    <w:rsid w:val="009603BE"/>
    <w:rsid w:val="009662DA"/>
    <w:rsid w:val="00980291"/>
    <w:rsid w:val="009F517A"/>
    <w:rsid w:val="00A15FAE"/>
    <w:rsid w:val="00A6454E"/>
    <w:rsid w:val="00AC75D6"/>
    <w:rsid w:val="00AF7663"/>
    <w:rsid w:val="00B01DB0"/>
    <w:rsid w:val="00B26908"/>
    <w:rsid w:val="00B3205D"/>
    <w:rsid w:val="00B327F2"/>
    <w:rsid w:val="00B34344"/>
    <w:rsid w:val="00B462EA"/>
    <w:rsid w:val="00B634B9"/>
    <w:rsid w:val="00B83F46"/>
    <w:rsid w:val="00BA383E"/>
    <w:rsid w:val="00BB0EEE"/>
    <w:rsid w:val="00BC0B0E"/>
    <w:rsid w:val="00BC1573"/>
    <w:rsid w:val="00BD520F"/>
    <w:rsid w:val="00BF0D93"/>
    <w:rsid w:val="00BF553F"/>
    <w:rsid w:val="00BF5C4E"/>
    <w:rsid w:val="00C62F4A"/>
    <w:rsid w:val="00C6730F"/>
    <w:rsid w:val="00C71351"/>
    <w:rsid w:val="00C972D1"/>
    <w:rsid w:val="00CA2A2D"/>
    <w:rsid w:val="00CC060D"/>
    <w:rsid w:val="00CF3EA4"/>
    <w:rsid w:val="00D02EF4"/>
    <w:rsid w:val="00D13B96"/>
    <w:rsid w:val="00D2500D"/>
    <w:rsid w:val="00D80E8A"/>
    <w:rsid w:val="00D9325C"/>
    <w:rsid w:val="00D95194"/>
    <w:rsid w:val="00D962D1"/>
    <w:rsid w:val="00D96CCD"/>
    <w:rsid w:val="00DA0F5C"/>
    <w:rsid w:val="00DB6543"/>
    <w:rsid w:val="00DD373C"/>
    <w:rsid w:val="00DF0034"/>
    <w:rsid w:val="00DF7A8B"/>
    <w:rsid w:val="00EA2823"/>
    <w:rsid w:val="00EA7A30"/>
    <w:rsid w:val="00EC05EC"/>
    <w:rsid w:val="00ED3F13"/>
    <w:rsid w:val="00F80B40"/>
    <w:rsid w:val="00FC067B"/>
    <w:rsid w:val="00FC6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EB21"/>
  <w15:chartTrackingRefBased/>
  <w15:docId w15:val="{CFC21D6F-701E-4A4F-AC5B-32412A4A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A30"/>
    <w:pPr>
      <w:ind w:left="720"/>
      <w:contextualSpacing/>
    </w:pPr>
  </w:style>
  <w:style w:type="paragraph" w:customStyle="1" w:styleId="Default">
    <w:name w:val="Default"/>
    <w:rsid w:val="006015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97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2D1"/>
  </w:style>
  <w:style w:type="paragraph" w:styleId="Footer">
    <w:name w:val="footer"/>
    <w:basedOn w:val="Normal"/>
    <w:link w:val="FooterChar"/>
    <w:uiPriority w:val="99"/>
    <w:unhideWhenUsed/>
    <w:rsid w:val="00C97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2D1"/>
  </w:style>
  <w:style w:type="paragraph" w:styleId="NormalWeb">
    <w:name w:val="Normal (Web)"/>
    <w:basedOn w:val="Normal"/>
    <w:uiPriority w:val="99"/>
    <w:semiHidden/>
    <w:unhideWhenUsed/>
    <w:rsid w:val="00887A0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166CD6"/>
    <w:pPr>
      <w:spacing w:after="0" w:line="240" w:lineRule="auto"/>
    </w:pPr>
  </w:style>
  <w:style w:type="character" w:styleId="Hyperlink">
    <w:name w:val="Hyperlink"/>
    <w:basedOn w:val="DefaultParagraphFont"/>
    <w:uiPriority w:val="99"/>
    <w:unhideWhenUsed/>
    <w:rsid w:val="00834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701530">
      <w:bodyDiv w:val="1"/>
      <w:marLeft w:val="0"/>
      <w:marRight w:val="0"/>
      <w:marTop w:val="0"/>
      <w:marBottom w:val="0"/>
      <w:divBdr>
        <w:top w:val="none" w:sz="0" w:space="0" w:color="auto"/>
        <w:left w:val="none" w:sz="0" w:space="0" w:color="auto"/>
        <w:bottom w:val="none" w:sz="0" w:space="0" w:color="auto"/>
        <w:right w:val="none" w:sz="0" w:space="0" w:color="auto"/>
      </w:divBdr>
    </w:div>
    <w:div w:id="21303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areers@cirencester.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F903-ADEA-44B4-86D8-A0508783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3725</TotalTime>
  <Pages>7</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Fraser</dc:creator>
  <cp:keywords/>
  <dc:description/>
  <cp:lastModifiedBy>Karen Fraser</cp:lastModifiedBy>
  <cp:revision>69</cp:revision>
  <dcterms:created xsi:type="dcterms:W3CDTF">2024-01-16T17:23:00Z</dcterms:created>
  <dcterms:modified xsi:type="dcterms:W3CDTF">2024-09-03T11:46:00Z</dcterms:modified>
</cp:coreProperties>
</file>